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36"/>
        </w:rPr>
      </w:pPr>
      <w:bookmarkStart w:id="0" w:name="_GoBack"/>
      <w:bookmarkEnd w:id="0"/>
      <w:r>
        <w:rPr>
          <w:rFonts w:hint="eastAsia"/>
          <w:b/>
          <w:bCs/>
          <w:sz w:val="40"/>
          <w:szCs w:val="36"/>
          <w:highlight w:val="none"/>
          <w:u w:val="none" w:color="auto"/>
          <w:lang w:val="en-US" w:eastAsia="zh-CN"/>
        </w:rPr>
        <w:t>PG-07地块（一期）</w:t>
      </w:r>
      <w:r>
        <w:rPr>
          <w:rFonts w:hint="eastAsia"/>
          <w:b/>
          <w:bCs/>
          <w:sz w:val="40"/>
          <w:szCs w:val="36"/>
          <w:lang w:val="en-US" w:eastAsia="zh-CN"/>
        </w:rPr>
        <w:t>项目</w:t>
      </w:r>
      <w:r>
        <w:rPr>
          <w:rFonts w:hint="eastAsia"/>
          <w:b/>
          <w:bCs/>
          <w:sz w:val="40"/>
          <w:szCs w:val="36"/>
        </w:rPr>
        <w:t>棚户区</w:t>
      </w:r>
    </w:p>
    <w:p>
      <w:pPr>
        <w:jc w:val="center"/>
        <w:rPr>
          <w:rFonts w:hint="eastAsia"/>
          <w:b/>
          <w:bCs/>
          <w:sz w:val="40"/>
          <w:szCs w:val="36"/>
        </w:rPr>
      </w:pPr>
      <w:r>
        <w:rPr>
          <w:rFonts w:hint="eastAsia"/>
          <w:b/>
          <w:bCs/>
          <w:sz w:val="40"/>
          <w:szCs w:val="36"/>
        </w:rPr>
        <w:t>改造房屋</w:t>
      </w:r>
      <w:r>
        <w:rPr>
          <w:rFonts w:hint="eastAsia"/>
          <w:b/>
          <w:bCs/>
          <w:sz w:val="40"/>
          <w:szCs w:val="36"/>
          <w:lang w:eastAsia="zh-CN"/>
        </w:rPr>
        <w:t>拟</w:t>
      </w:r>
      <w:r>
        <w:rPr>
          <w:rFonts w:hint="eastAsia"/>
          <w:b/>
          <w:bCs/>
          <w:sz w:val="40"/>
          <w:szCs w:val="36"/>
        </w:rPr>
        <w:t>征收补偿方案</w:t>
      </w:r>
    </w:p>
    <w:p>
      <w:pPr>
        <w:jc w:val="center"/>
        <w:rPr>
          <w:rFonts w:hint="eastAsia" w:eastAsia="宋体"/>
          <w:b/>
          <w:bCs/>
          <w:sz w:val="28"/>
          <w:szCs w:val="28"/>
          <w:lang w:eastAsia="zh-CN"/>
        </w:rPr>
      </w:pPr>
      <w:r>
        <w:rPr>
          <w:rFonts w:hint="eastAsia"/>
          <w:b/>
          <w:bCs/>
          <w:sz w:val="28"/>
          <w:szCs w:val="28"/>
          <w:lang w:eastAsia="zh-CN"/>
        </w:rPr>
        <w:t>（征求意见稿）</w:t>
      </w:r>
    </w:p>
    <w:p>
      <w:pPr>
        <w:widowControl w:val="0"/>
        <w:snapToGrid w:val="0"/>
        <w:spacing w:before="0" w:after="0" w:line="306" w:lineRule="atLeast"/>
        <w:ind w:left="0" w:right="0" w:firstLine="0"/>
        <w:jc w:val="center"/>
        <w:textAlignment w:val="baseline"/>
        <w:rPr>
          <w:rFonts w:hint="eastAsia" w:ascii="微软雅黑" w:hAnsi="微软雅黑" w:eastAsia="微软雅黑" w:cs="微软雅黑"/>
          <w:b w:val="0"/>
          <w:bCs/>
          <w:sz w:val="18"/>
          <w:szCs w:val="16"/>
          <w:u w:val="none" w:color="auto"/>
        </w:rPr>
      </w:pPr>
    </w:p>
    <w:p>
      <w:pPr>
        <w:widowControl w:val="0"/>
        <w:snapToGrid w:val="0"/>
        <w:spacing w:before="0" w:after="0" w:line="238" w:lineRule="atLeast"/>
        <w:ind w:left="0" w:right="0" w:firstLine="0"/>
        <w:jc w:val="center"/>
        <w:textAlignment w:val="baseline"/>
        <w:rPr>
          <w:rFonts w:hint="eastAsia" w:ascii="微软雅黑" w:hAnsi="微软雅黑" w:eastAsia="微软雅黑" w:cs="微软雅黑"/>
          <w:b w:val="0"/>
          <w:bCs/>
          <w:sz w:val="18"/>
          <w:szCs w:val="16"/>
          <w:u w:val="none" w:color="auto"/>
        </w:rPr>
      </w:pPr>
    </w:p>
    <w:p>
      <w:pPr>
        <w:widowControl w:val="0"/>
        <w:snapToGrid w:val="0"/>
        <w:spacing w:before="0" w:after="0" w:line="266" w:lineRule="atLeast"/>
        <w:ind w:left="0" w:right="0" w:firstLine="0"/>
        <w:jc w:val="both"/>
        <w:textAlignment w:val="baseline"/>
        <w:rPr>
          <w:rFonts w:hint="eastAsia" w:ascii="宋体" w:hAnsi="宋体" w:eastAsia="宋体" w:cs="宋体"/>
          <w:b w:val="0"/>
          <w:bCs/>
          <w:sz w:val="18"/>
          <w:szCs w:val="16"/>
          <w:u w:val="none" w:color="auto"/>
        </w:rPr>
      </w:pPr>
      <w:r>
        <w:rPr>
          <w:rFonts w:hint="eastAsia" w:ascii="微软雅黑" w:hAnsi="微软雅黑" w:eastAsia="微软雅黑" w:cs="微软雅黑"/>
          <w:b w:val="0"/>
          <w:bCs/>
          <w:sz w:val="21"/>
          <w:szCs w:val="16"/>
          <w:u w:val="none" w:color="auto"/>
        </w:rPr>
        <w:t xml:space="preserve"> 　</w:t>
      </w:r>
      <w:r>
        <w:rPr>
          <w:rFonts w:hint="eastAsia" w:ascii="微软雅黑" w:hAnsi="微软雅黑" w:eastAsia="微软雅黑" w:cs="微软雅黑"/>
          <w:b w:val="0"/>
          <w:bCs/>
          <w:sz w:val="24"/>
          <w:szCs w:val="16"/>
          <w:u w:val="none" w:color="auto"/>
        </w:rPr>
        <w:t xml:space="preserve"> </w:t>
      </w:r>
      <w:r>
        <w:rPr>
          <w:rFonts w:hint="eastAsia" w:ascii="宋体" w:hAnsi="宋体" w:eastAsia="宋体" w:cs="宋体"/>
          <w:b w:val="0"/>
          <w:bCs/>
          <w:sz w:val="21"/>
          <w:szCs w:val="16"/>
          <w:u w:val="none" w:color="auto"/>
        </w:rPr>
        <w:t xml:space="preserve"> 为</w:t>
      </w:r>
      <w:r>
        <w:rPr>
          <w:rFonts w:hint="eastAsia" w:ascii="宋体" w:hAnsi="宋体" w:cs="宋体"/>
          <w:b w:val="0"/>
          <w:bCs/>
          <w:sz w:val="21"/>
          <w:szCs w:val="16"/>
          <w:u w:val="none" w:color="auto"/>
          <w:lang w:val="en-US" w:eastAsia="zh-CN"/>
        </w:rPr>
        <w:t>了</w:t>
      </w:r>
      <w:r>
        <w:rPr>
          <w:rFonts w:hint="eastAsia" w:ascii="宋体" w:hAnsi="宋体" w:eastAsia="宋体" w:cs="宋体"/>
          <w:b w:val="0"/>
          <w:bCs/>
          <w:sz w:val="21"/>
          <w:szCs w:val="16"/>
          <w:u w:val="none" w:color="auto"/>
        </w:rPr>
        <w:t>公共利益的需要，根据《国有土地上房屋征收与补偿条例》、</w:t>
      </w:r>
      <w:r>
        <w:rPr>
          <w:rFonts w:hint="eastAsia" w:ascii="宋体" w:hAnsi="宋体" w:cs="宋体"/>
          <w:b w:val="0"/>
          <w:bCs/>
          <w:sz w:val="21"/>
          <w:szCs w:val="16"/>
          <w:u w:val="none" w:color="auto"/>
          <w:lang w:val="en-US" w:eastAsia="zh-CN"/>
        </w:rPr>
        <w:t>吉林省第</w:t>
      </w:r>
      <w:r>
        <w:rPr>
          <w:rFonts w:hint="eastAsia" w:ascii="宋体" w:hAnsi="宋体" w:eastAsia="宋体" w:cs="宋体"/>
          <w:b w:val="0"/>
          <w:bCs/>
          <w:sz w:val="21"/>
          <w:szCs w:val="16"/>
          <w:u w:val="none" w:color="auto"/>
        </w:rPr>
        <w:t>[</w:t>
      </w:r>
      <w:r>
        <w:rPr>
          <w:rFonts w:hint="eastAsia" w:ascii="宋体" w:hAnsi="宋体" w:cs="宋体"/>
          <w:b w:val="0"/>
          <w:bCs/>
          <w:sz w:val="21"/>
          <w:szCs w:val="16"/>
          <w:u w:val="none" w:color="auto"/>
          <w:lang w:val="en-US" w:eastAsia="zh-CN"/>
        </w:rPr>
        <w:t>273</w:t>
      </w:r>
      <w:r>
        <w:rPr>
          <w:rFonts w:hint="eastAsia" w:ascii="宋体" w:hAnsi="宋体" w:eastAsia="宋体" w:cs="宋体"/>
          <w:b w:val="0"/>
          <w:bCs/>
          <w:sz w:val="21"/>
          <w:szCs w:val="16"/>
          <w:u w:val="none" w:color="auto"/>
        </w:rPr>
        <w:t>]</w:t>
      </w:r>
      <w:r>
        <w:rPr>
          <w:rFonts w:hint="eastAsia" w:ascii="宋体" w:hAnsi="宋体" w:cs="宋体"/>
          <w:b w:val="0"/>
          <w:bCs/>
          <w:sz w:val="21"/>
          <w:szCs w:val="16"/>
          <w:u w:val="none" w:color="auto"/>
          <w:lang w:val="en-US" w:eastAsia="zh-CN"/>
        </w:rPr>
        <w:t>号令</w:t>
      </w:r>
      <w:r>
        <w:rPr>
          <w:rFonts w:hint="eastAsia" w:ascii="宋体" w:hAnsi="宋体" w:cs="宋体"/>
          <w:b w:val="0"/>
          <w:bCs/>
          <w:sz w:val="21"/>
          <w:szCs w:val="16"/>
          <w:u w:val="none" w:color="auto"/>
          <w:lang w:eastAsia="zh-CN"/>
        </w:rPr>
        <w:t>《</w:t>
      </w:r>
      <w:r>
        <w:rPr>
          <w:rFonts w:hint="eastAsia" w:ascii="宋体" w:hAnsi="宋体" w:cs="宋体"/>
          <w:b w:val="0"/>
          <w:bCs/>
          <w:sz w:val="21"/>
          <w:szCs w:val="16"/>
          <w:u w:val="none" w:color="auto"/>
          <w:lang w:val="en-US" w:eastAsia="zh-CN"/>
        </w:rPr>
        <w:t>吉林省国有土地上房屋征收与补偿办法》、</w:t>
      </w:r>
      <w:r>
        <w:rPr>
          <w:rFonts w:hint="eastAsia" w:ascii="宋体" w:hAnsi="宋体" w:eastAsia="宋体" w:cs="宋体"/>
          <w:b w:val="0"/>
          <w:bCs/>
          <w:sz w:val="21"/>
          <w:szCs w:val="16"/>
          <w:u w:val="none" w:color="auto"/>
        </w:rPr>
        <w:t>双政办发[2015]51号《双辽市国有土地上房屋征收与补偿补助奖励办法》，依据吉政发〔2014〕15号《吉林省人民政府关于加快推进新一轮城市棚户区改造工作的意见》</w:t>
      </w:r>
      <w:r>
        <w:rPr>
          <w:rFonts w:hint="eastAsia" w:ascii="宋体" w:hAnsi="宋体" w:cs="宋体"/>
          <w:b w:val="0"/>
          <w:bCs/>
          <w:sz w:val="21"/>
          <w:szCs w:val="16"/>
          <w:u w:val="none" w:color="auto"/>
          <w:lang w:val="en-US" w:eastAsia="zh-CN"/>
        </w:rPr>
        <w:t>及有</w:t>
      </w:r>
      <w:r>
        <w:rPr>
          <w:rFonts w:hint="eastAsia" w:ascii="宋体" w:hAnsi="宋体" w:eastAsia="宋体" w:cs="宋体"/>
          <w:b w:val="0"/>
          <w:bCs/>
          <w:sz w:val="21"/>
          <w:szCs w:val="16"/>
          <w:u w:val="none" w:color="auto"/>
        </w:rPr>
        <w:t>关</w:t>
      </w:r>
      <w:r>
        <w:rPr>
          <w:rFonts w:hint="eastAsia" w:ascii="宋体" w:hAnsi="宋体" w:cs="宋体"/>
          <w:b w:val="0"/>
          <w:bCs/>
          <w:sz w:val="21"/>
          <w:szCs w:val="16"/>
          <w:u w:val="none" w:color="auto"/>
          <w:lang w:val="en-US" w:eastAsia="zh-CN"/>
        </w:rPr>
        <w:t>法律、法规之规定，双辽市人民政府组织相关部门研究论证后，拟决定对PG-07（一期）地块棚户区改造范围内房屋进行征收。为维护公共利益保障被征收房屋所有权人的合法权益，立足于本市实际情况，特制定如下征收补偿方案。</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一、项目名称</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cs="宋体"/>
          <w:b/>
          <w:bCs w:val="0"/>
          <w:sz w:val="21"/>
          <w:szCs w:val="16"/>
          <w:u w:val="none" w:color="auto"/>
          <w:lang w:val="en-US" w:eastAsia="zh-CN"/>
        </w:rPr>
        <w:t xml:space="preserve">    PG-</w:t>
      </w:r>
      <w:r>
        <w:rPr>
          <w:rFonts w:hint="eastAsia" w:ascii="宋体" w:hAnsi="宋体" w:cs="宋体"/>
          <w:b w:val="0"/>
          <w:bCs/>
          <w:sz w:val="21"/>
          <w:szCs w:val="16"/>
          <w:u w:val="none" w:color="auto"/>
          <w:lang w:val="en-US" w:eastAsia="zh-CN"/>
        </w:rPr>
        <w:t>07地块（一期）项目棚户区改造</w:t>
      </w:r>
      <w:r>
        <w:rPr>
          <w:rFonts w:hint="eastAsia" w:ascii="宋体" w:hAnsi="宋体" w:eastAsia="宋体" w:cs="宋体"/>
          <w:b w:val="0"/>
          <w:bCs/>
          <w:sz w:val="21"/>
          <w:szCs w:val="16"/>
          <w:u w:val="none" w:color="auto"/>
        </w:rPr>
        <w:t>工程。</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二、征收范围</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本项目征收范围：</w:t>
      </w:r>
      <w:r>
        <w:rPr>
          <w:rFonts w:hint="eastAsia" w:ascii="宋体" w:hAnsi="宋体" w:cs="宋体"/>
          <w:b w:val="0"/>
          <w:bCs/>
          <w:sz w:val="21"/>
          <w:szCs w:val="16"/>
          <w:u w:val="none" w:color="auto"/>
          <w:lang w:eastAsia="zh-CN"/>
        </w:rPr>
        <w:t>以规划部门红蓝线为准</w:t>
      </w:r>
      <w:r>
        <w:rPr>
          <w:rFonts w:hint="eastAsia" w:ascii="宋体" w:hAnsi="宋体" w:eastAsia="宋体" w:cs="宋体"/>
          <w:b w:val="0"/>
          <w:bCs/>
          <w:sz w:val="21"/>
          <w:szCs w:val="16"/>
          <w:u w:val="none" w:color="auto"/>
        </w:rPr>
        <w:t>，</w:t>
      </w:r>
      <w:r>
        <w:rPr>
          <w:rFonts w:hint="eastAsia" w:ascii="宋体" w:hAnsi="宋体" w:cs="宋体"/>
          <w:b w:val="0"/>
          <w:bCs/>
          <w:sz w:val="21"/>
          <w:szCs w:val="16"/>
          <w:u w:val="none" w:color="auto"/>
          <w:lang w:val="en-US" w:eastAsia="zh-CN"/>
        </w:rPr>
        <w:t>35</w:t>
      </w:r>
      <w:r>
        <w:rPr>
          <w:rFonts w:hint="eastAsia" w:ascii="宋体" w:hAnsi="宋体" w:eastAsia="宋体" w:cs="宋体"/>
          <w:b w:val="0"/>
          <w:bCs/>
          <w:sz w:val="21"/>
          <w:szCs w:val="16"/>
          <w:u w:val="none" w:color="auto"/>
        </w:rPr>
        <w:t>（户）,征收房屋建筑面积约</w:t>
      </w:r>
      <w:r>
        <w:rPr>
          <w:rFonts w:hint="eastAsia" w:ascii="宋体" w:hAnsi="宋体" w:cs="宋体"/>
          <w:b w:val="0"/>
          <w:bCs/>
          <w:sz w:val="21"/>
          <w:szCs w:val="16"/>
          <w:u w:val="none" w:color="auto"/>
          <w:lang w:val="en-US" w:eastAsia="zh-CN"/>
        </w:rPr>
        <w:t>5300</w:t>
      </w:r>
      <w:r>
        <w:rPr>
          <w:rFonts w:hint="eastAsia" w:ascii="宋体" w:hAnsi="宋体" w:cs="宋体"/>
          <w:b w:val="0"/>
          <w:bCs/>
          <w:sz w:val="21"/>
          <w:szCs w:val="16"/>
          <w:u w:val="none" w:color="auto"/>
          <w:lang w:eastAsia="zh-CN"/>
        </w:rPr>
        <w:t>平</w:t>
      </w:r>
      <w:r>
        <w:rPr>
          <w:rFonts w:hint="eastAsia" w:ascii="宋体" w:hAnsi="宋体" w:eastAsia="宋体" w:cs="宋体"/>
          <w:b w:val="0"/>
          <w:bCs/>
          <w:sz w:val="21"/>
          <w:szCs w:val="16"/>
          <w:u w:val="none" w:color="auto"/>
        </w:rPr>
        <w:t>方米。</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三、房屋征收主体：双辽市人民政府</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lang w:eastAsia="zh-CN"/>
        </w:rPr>
      </w:pPr>
      <w:r>
        <w:rPr>
          <w:rFonts w:hint="eastAsia" w:ascii="宋体" w:hAnsi="宋体" w:eastAsia="宋体" w:cs="宋体"/>
          <w:b w:val="0"/>
          <w:bCs/>
          <w:sz w:val="21"/>
          <w:szCs w:val="16"/>
          <w:u w:val="none" w:color="auto"/>
        </w:rPr>
        <w:t xml:space="preserve">        房屋征收部门：双辽市城市管理</w:t>
      </w:r>
      <w:r>
        <w:rPr>
          <w:rFonts w:hint="eastAsia" w:ascii="宋体" w:hAnsi="宋体" w:cs="宋体"/>
          <w:b w:val="0"/>
          <w:bCs/>
          <w:sz w:val="21"/>
          <w:szCs w:val="16"/>
          <w:u w:val="none" w:color="auto"/>
          <w:lang w:eastAsia="zh-CN"/>
        </w:rPr>
        <w:t>行政</w:t>
      </w:r>
      <w:r>
        <w:rPr>
          <w:rFonts w:hint="eastAsia" w:ascii="宋体" w:hAnsi="宋体" w:eastAsia="宋体" w:cs="宋体"/>
          <w:b w:val="0"/>
          <w:bCs/>
          <w:sz w:val="21"/>
          <w:szCs w:val="16"/>
          <w:u w:val="none" w:color="auto"/>
        </w:rPr>
        <w:t>执法</w:t>
      </w:r>
      <w:r>
        <w:rPr>
          <w:rFonts w:hint="eastAsia" w:ascii="宋体" w:hAnsi="宋体" w:cs="宋体"/>
          <w:b w:val="0"/>
          <w:bCs/>
          <w:sz w:val="21"/>
          <w:szCs w:val="16"/>
          <w:u w:val="none" w:color="auto"/>
          <w:lang w:eastAsia="zh-CN"/>
        </w:rPr>
        <w:t>局</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房屋征收实施单位：双辽市房屋征收经办中心</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四、征收实施时间：自房屋征收决定公告之日起实施。</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五、征收补偿签约期限：</w:t>
      </w:r>
    </w:p>
    <w:p>
      <w:pPr>
        <w:widowControl w:val="0"/>
        <w:snapToGrid w:val="0"/>
        <w:spacing w:before="0" w:after="0" w:line="238" w:lineRule="atLeast"/>
        <w:ind w:left="0" w:right="0" w:firstLine="0"/>
        <w:jc w:val="both"/>
        <w:textAlignment w:val="baseline"/>
        <w:rPr>
          <w:rFonts w:hint="eastAsia" w:ascii="宋体" w:hAnsi="宋体" w:eastAsia="宋体" w:cs="宋体"/>
          <w:b/>
          <w:bCs w:val="0"/>
          <w:sz w:val="18"/>
          <w:szCs w:val="16"/>
          <w:u w:val="none" w:color="auto"/>
        </w:rPr>
      </w:pPr>
      <w:r>
        <w:rPr>
          <w:rFonts w:hint="eastAsia" w:ascii="宋体" w:hAnsi="宋体" w:eastAsia="宋体" w:cs="宋体"/>
          <w:b w:val="0"/>
          <w:bCs/>
          <w:sz w:val="21"/>
          <w:szCs w:val="16"/>
          <w:u w:val="none" w:color="auto"/>
        </w:rPr>
        <w:t xml:space="preserve"> 　 自发布房屋征收决定公告之日起</w:t>
      </w:r>
      <w:r>
        <w:rPr>
          <w:rFonts w:hint="eastAsia" w:ascii="宋体" w:hAnsi="宋体" w:cs="宋体"/>
          <w:b w:val="0"/>
          <w:bCs/>
          <w:sz w:val="21"/>
          <w:szCs w:val="16"/>
          <w:u w:val="none" w:color="auto"/>
          <w:lang w:val="en-US" w:eastAsia="zh-CN"/>
        </w:rPr>
        <w:t>3</w:t>
      </w:r>
      <w:r>
        <w:rPr>
          <w:rFonts w:hint="eastAsia" w:ascii="宋体" w:hAnsi="宋体" w:eastAsia="宋体" w:cs="宋体"/>
          <w:b w:val="0"/>
          <w:bCs/>
          <w:sz w:val="21"/>
          <w:szCs w:val="16"/>
          <w:u w:val="none" w:color="auto"/>
        </w:rPr>
        <w:t>个月内。</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六、征收补偿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被征收人可以选择货币补偿，也可以选择产权调换。</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w:t>
      </w:r>
      <w:r>
        <w:rPr>
          <w:rFonts w:hint="eastAsia" w:ascii="宋体" w:hAnsi="宋体" w:cs="宋体"/>
          <w:b w:val="0"/>
          <w:bCs/>
          <w:sz w:val="21"/>
          <w:szCs w:val="16"/>
          <w:u w:val="none" w:color="auto"/>
          <w:lang w:val="en-US" w:eastAsia="zh-CN"/>
        </w:rPr>
        <w:t xml:space="preserve"> </w:t>
      </w:r>
      <w:r>
        <w:rPr>
          <w:rFonts w:hint="eastAsia" w:ascii="宋体" w:hAnsi="宋体" w:eastAsia="宋体" w:cs="宋体"/>
          <w:b w:val="0"/>
          <w:bCs/>
          <w:sz w:val="21"/>
          <w:szCs w:val="16"/>
          <w:u w:val="none" w:color="auto"/>
        </w:rPr>
        <w:t>依据评估机构前期测算类似房地产市场价格，征收范围内被征收住宅房屋</w:t>
      </w:r>
      <w:r>
        <w:rPr>
          <w:rFonts w:hint="eastAsia" w:ascii="宋体" w:hAnsi="宋体" w:cs="宋体"/>
          <w:b w:val="0"/>
          <w:bCs/>
          <w:sz w:val="21"/>
          <w:szCs w:val="16"/>
          <w:u w:val="none" w:color="auto"/>
          <w:lang w:val="en-US" w:eastAsia="zh-CN"/>
        </w:rPr>
        <w:t>按评估结果给予货币补偿</w:t>
      </w:r>
      <w:r>
        <w:rPr>
          <w:rFonts w:hint="eastAsia" w:ascii="宋体" w:hAnsi="宋体" w:eastAsia="宋体" w:cs="宋体"/>
          <w:b w:val="0"/>
          <w:bCs/>
          <w:sz w:val="21"/>
          <w:szCs w:val="16"/>
          <w:u w:val="none" w:color="auto"/>
        </w:rPr>
        <w:t>。</w:t>
      </w:r>
    </w:p>
    <w:p>
      <w:pPr>
        <w:widowControl w:val="0"/>
        <w:numPr>
          <w:ilvl w:val="0"/>
          <w:numId w:val="1"/>
        </w:numPr>
        <w:snapToGrid w:val="0"/>
        <w:spacing w:before="0" w:after="0" w:line="238" w:lineRule="atLeast"/>
        <w:ind w:left="315" w:leftChars="0" w:right="0" w:firstLine="0" w:firstLineChars="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货币补偿</w:t>
      </w:r>
    </w:p>
    <w:p>
      <w:pPr>
        <w:widowControl w:val="0"/>
        <w:numPr>
          <w:ilvl w:val="0"/>
          <w:numId w:val="0"/>
        </w:numPr>
        <w:snapToGrid w:val="0"/>
        <w:spacing w:before="0" w:after="0" w:line="238" w:lineRule="atLeast"/>
        <w:ind w:left="315" w:leftChars="0" w:right="0" w:rightChars="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私有住宅房屋货币补偿额=</w:t>
      </w:r>
      <w:r>
        <w:rPr>
          <w:rFonts w:hint="eastAsia" w:ascii="宋体" w:hAnsi="宋体" w:cs="宋体"/>
          <w:b w:val="0"/>
          <w:bCs/>
          <w:sz w:val="21"/>
          <w:szCs w:val="16"/>
          <w:u w:val="none" w:color="auto"/>
          <w:lang w:eastAsia="zh-CN"/>
        </w:rPr>
        <w:t>产权证照</w:t>
      </w:r>
      <w:r>
        <w:rPr>
          <w:rFonts w:hint="eastAsia" w:ascii="宋体" w:hAnsi="宋体" w:eastAsia="宋体" w:cs="宋体"/>
          <w:b w:val="0"/>
          <w:bCs/>
          <w:sz w:val="21"/>
          <w:szCs w:val="16"/>
          <w:u w:val="none" w:color="auto"/>
        </w:rPr>
        <w:t xml:space="preserve">面积×房地产评估单价+搬迁补助费+附属设施补偿等。从事经营活动有照的非住宅房屋货币补偿额=房证建筑面积×房地产评估单价+搬迁补助费+附属设施补偿费+停产停业损失费等 </w:t>
      </w:r>
      <w:r>
        <w:rPr>
          <w:rFonts w:hint="eastAsia" w:ascii="宋体" w:hAnsi="宋体" w:eastAsia="宋体" w:cs="宋体"/>
          <w:b w:val="0"/>
          <w:bCs/>
          <w:sz w:val="21"/>
          <w:szCs w:val="16"/>
          <w:u w:val="none" w:color="auto"/>
          <w:lang w:eastAsia="zh-CN"/>
        </w:rPr>
        <w:t>。</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⒈被征收人选择货币补偿的，按照评估结果给予补偿。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⒉平房院内自建无证房屋、棚厦依据评估机构评估确定的价格给予补偿。（由于该区域平房住户住宅面积小，因日常生活所需在院内建的无证房、小棚，补偿价格为重置价结合成新评估价格确定给予货币补偿）。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（二）产权调换</w:t>
      </w:r>
    </w:p>
    <w:p>
      <w:pPr>
        <w:widowControl w:val="0"/>
        <w:snapToGrid w:val="0"/>
        <w:spacing w:before="0" w:after="0" w:line="238" w:lineRule="atLeast"/>
        <w:ind w:left="0" w:right="0" w:firstLine="419"/>
        <w:jc w:val="both"/>
        <w:textAlignment w:val="baseline"/>
        <w:rPr>
          <w:rFonts w:hint="eastAsia" w:ascii="宋体" w:hAnsi="宋体" w:cs="宋体"/>
          <w:b w:val="0"/>
          <w:bCs/>
          <w:sz w:val="21"/>
          <w:szCs w:val="16"/>
          <w:u w:val="none" w:color="auto"/>
          <w:lang w:val="en-US" w:eastAsia="zh-CN"/>
        </w:rPr>
      </w:pPr>
      <w:r>
        <w:rPr>
          <w:rFonts w:hint="eastAsia" w:ascii="宋体" w:hAnsi="宋体" w:eastAsia="宋体" w:cs="宋体"/>
          <w:b w:val="0"/>
          <w:bCs/>
          <w:sz w:val="21"/>
          <w:szCs w:val="16"/>
          <w:u w:val="none" w:color="auto"/>
        </w:rPr>
        <w:t>⒈</w:t>
      </w:r>
      <w:r>
        <w:rPr>
          <w:rFonts w:hint="eastAsia" w:ascii="宋体" w:hAnsi="宋体" w:eastAsia="宋体" w:cs="宋体"/>
          <w:b w:val="0"/>
          <w:bCs/>
          <w:sz w:val="21"/>
          <w:szCs w:val="16"/>
          <w:u w:val="none" w:color="auto"/>
          <w:lang w:eastAsia="zh-CN"/>
        </w:rPr>
        <w:t>期房回迁安置为：</w:t>
      </w:r>
      <w:r>
        <w:rPr>
          <w:rFonts w:hint="eastAsia" w:ascii="宋体" w:hAnsi="宋体" w:cs="宋体"/>
          <w:b w:val="0"/>
          <w:bCs/>
          <w:sz w:val="21"/>
          <w:szCs w:val="16"/>
          <w:u w:val="none" w:color="auto"/>
          <w:lang w:val="en-US" w:eastAsia="zh-CN"/>
        </w:rPr>
        <w:t>如意雅居小区、西善小区。</w:t>
      </w:r>
    </w:p>
    <w:p>
      <w:pPr>
        <w:widowControl w:val="0"/>
        <w:snapToGrid w:val="0"/>
        <w:spacing w:before="0" w:after="0" w:line="238" w:lineRule="atLeast"/>
        <w:ind w:left="0" w:right="0" w:firstLine="419"/>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⒉产权调换住宅房屋的相关规定：</w:t>
      </w:r>
    </w:p>
    <w:p>
      <w:pPr>
        <w:widowControl w:val="0"/>
        <w:snapToGrid w:val="0"/>
        <w:spacing w:before="0" w:after="0" w:line="238" w:lineRule="atLeast"/>
        <w:ind w:left="0" w:right="0" w:firstLine="0"/>
        <w:jc w:val="both"/>
        <w:textAlignment w:val="center"/>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①住宅房屋被征收人选择产权调换的，按被征收房屋</w:t>
      </w:r>
      <w:r>
        <w:rPr>
          <w:rFonts w:hint="eastAsia" w:ascii="宋体" w:hAnsi="宋体" w:cs="宋体"/>
          <w:b w:val="0"/>
          <w:bCs/>
          <w:sz w:val="21"/>
          <w:szCs w:val="16"/>
          <w:u w:val="none" w:color="auto"/>
          <w:lang w:eastAsia="zh-CN"/>
        </w:rPr>
        <w:t>产权证照</w:t>
      </w:r>
      <w:r>
        <w:rPr>
          <w:rFonts w:hint="eastAsia" w:ascii="宋体" w:hAnsi="宋体" w:eastAsia="宋体" w:cs="宋体"/>
          <w:b w:val="0"/>
          <w:bCs/>
          <w:sz w:val="21"/>
          <w:szCs w:val="16"/>
          <w:u w:val="none" w:color="auto"/>
        </w:rPr>
        <w:t>面积“征一还一”予以补偿，被征收房屋的建筑面积与产权调换房屋建筑面积相等部分不结算差价。</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②被征收住宅房屋以房屋所有权证为补偿单位，选择高层住宅每户无偿增加8平方米安置面积；选择多层住宅每户无偿增加5平方米安置面积。</w:t>
      </w:r>
    </w:p>
    <w:p>
      <w:pPr>
        <w:widowControl w:val="0"/>
        <w:snapToGrid w:val="0"/>
        <w:spacing w:before="0" w:after="0" w:line="238" w:lineRule="atLeast"/>
        <w:ind w:left="0" w:right="0" w:firstLine="0"/>
        <w:jc w:val="both"/>
        <w:textAlignment w:val="baseline"/>
        <w:rPr>
          <w:rFonts w:hint="eastAsia" w:ascii="宋体" w:hAnsi="宋体" w:eastAsia="宋体" w:cs="宋体"/>
          <w:b/>
          <w:bCs w:val="0"/>
          <w:sz w:val="18"/>
          <w:szCs w:val="16"/>
          <w:u w:val="single" w:color="auto"/>
        </w:rPr>
      </w:pPr>
      <w:r>
        <w:rPr>
          <w:rFonts w:hint="eastAsia" w:ascii="宋体" w:hAnsi="宋体" w:eastAsia="宋体" w:cs="宋体"/>
          <w:b w:val="0"/>
          <w:bCs/>
          <w:sz w:val="21"/>
          <w:szCs w:val="16"/>
          <w:u w:val="none" w:color="auto"/>
        </w:rPr>
        <w:t xml:space="preserve">    ③被征收住宅房屋按照规定标准产权调换高层住宅楼房，在增加和奖励安置面积后仍不足50平方米的不足面积部分，按优惠价格2000元/平方米购买；产权调换多层住宅楼房，在增加和奖励安置面积后仍不足45平方米的，不足面积部分，按优惠价格2000元/平方米购买；</w:t>
      </w:r>
    </w:p>
    <w:p>
      <w:pPr>
        <w:widowControl w:val="0"/>
        <w:snapToGrid w:val="0"/>
        <w:spacing w:before="0" w:after="0" w:line="238" w:lineRule="atLeast"/>
        <w:ind w:left="0" w:right="0" w:firstLine="0"/>
        <w:jc w:val="both"/>
        <w:textAlignment w:val="center"/>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④被征收人为低保户、特困户或唯一一处住房，由相关部门核实证明，经房屋征收认定小组认定后，选择房屋产权调换高层住宅楼房的，被征收住宅房屋按照规定标准增加和奖励安置面积后仍不足50平方米的，无偿安置到50平方米；选择房屋产权调换多层住宅楼房的，被征收住宅房屋按照规定标准增加和奖励安置面积后仍不足45平方米的，无偿安置到45平方米。</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⑤产权调换房屋本着优先选择原则，先搬迁先选择。按《房屋征收补偿协议书》搬迁顺序号的先后顺序，由被征收人在规定的回迁区域内和规定的回迁楼内自行选择。</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⑥被征收人的无证房屋根据《双辽市国有土地上房屋征收与补偿补助奖励办法》进行补偿。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single" w:color="auto"/>
        </w:rPr>
      </w:pPr>
      <w:r>
        <w:rPr>
          <w:rFonts w:hint="eastAsia" w:ascii="宋体" w:hAnsi="宋体" w:eastAsia="宋体" w:cs="宋体"/>
          <w:b w:val="0"/>
          <w:bCs/>
          <w:sz w:val="21"/>
          <w:szCs w:val="16"/>
          <w:u w:val="none" w:color="auto"/>
        </w:rPr>
        <w:t xml:space="preserve">    ⒊非住宅房屋</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①产权登记为</w:t>
      </w:r>
      <w:r>
        <w:rPr>
          <w:rFonts w:hint="eastAsia" w:ascii="宋体" w:hAnsi="宋体" w:cs="宋体"/>
          <w:b w:val="0"/>
          <w:bCs/>
          <w:sz w:val="21"/>
          <w:szCs w:val="16"/>
          <w:u w:val="none" w:color="auto"/>
          <w:lang w:eastAsia="zh-CN"/>
        </w:rPr>
        <w:t>商</w:t>
      </w:r>
      <w:r>
        <w:rPr>
          <w:rFonts w:hint="eastAsia" w:ascii="宋体" w:hAnsi="宋体" w:eastAsia="宋体" w:cs="宋体"/>
          <w:b w:val="0"/>
          <w:bCs/>
          <w:sz w:val="21"/>
          <w:szCs w:val="16"/>
          <w:u w:val="none" w:color="auto"/>
        </w:rPr>
        <w:t>业性质的房屋，产权调换到同类地段营业房屋的，被征收房屋原面积部分实行“征一还一”不结算差价，被征收人要求再增加面积部分按市场价格结算。其他用途的非住宅房屋，被征收人要求产权调换营业性质房屋的，按被征收房屋的评估价值与产权调换房屋市场价格结算差价的方式安置。</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② 被征收房屋产权证照上记载为住宅，但被征收人利用房屋从事经营活动的（简称住宅兼营业），按住宅房屋安置补偿。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征收时具有有效工商营业执照并从事经营活动的，按非住宅房屋的停产停业损失补偿标准给予停产停业损失补偿。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（三）双重选择</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被征收人既选择货币补偿又选择产权调换的，按本条（一）项（二）项的规定执行。</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w:t>
      </w:r>
      <w:r>
        <w:rPr>
          <w:rFonts w:hint="eastAsia" w:ascii="宋体" w:hAnsi="宋体" w:cs="宋体"/>
          <w:b w:val="0"/>
          <w:bCs/>
          <w:sz w:val="21"/>
          <w:szCs w:val="16"/>
          <w:u w:val="none" w:color="auto"/>
          <w:lang w:eastAsia="zh-CN"/>
        </w:rPr>
        <w:t>七</w:t>
      </w:r>
      <w:r>
        <w:rPr>
          <w:rFonts w:hint="eastAsia" w:ascii="宋体" w:hAnsi="宋体" w:eastAsia="宋体" w:cs="宋体"/>
          <w:b w:val="0"/>
          <w:bCs/>
          <w:sz w:val="21"/>
          <w:szCs w:val="16"/>
          <w:u w:val="none" w:color="auto"/>
        </w:rPr>
        <w:t>、房屋征收产权调换遇到下列情况按以下规定执行：</w:t>
      </w:r>
    </w:p>
    <w:p>
      <w:pPr>
        <w:widowControl w:val="0"/>
        <w:snapToGrid w:val="0"/>
        <w:spacing w:before="0" w:after="0" w:line="238" w:lineRule="atLeast"/>
        <w:ind w:left="0" w:right="0" w:firstLine="0"/>
        <w:jc w:val="both"/>
        <w:textAlignment w:val="baseline"/>
        <w:rPr>
          <w:rFonts w:hint="eastAsia" w:ascii="宋体" w:hAnsi="宋体" w:eastAsia="宋体" w:cs="宋体"/>
          <w:b/>
          <w:bCs w:val="0"/>
          <w:sz w:val="18"/>
          <w:szCs w:val="16"/>
          <w:u w:val="single" w:color="auto"/>
        </w:rPr>
      </w:pPr>
      <w:r>
        <w:rPr>
          <w:rFonts w:hint="eastAsia" w:ascii="宋体" w:hAnsi="宋体" w:eastAsia="宋体" w:cs="宋体"/>
          <w:b w:val="0"/>
          <w:bCs/>
          <w:sz w:val="21"/>
          <w:szCs w:val="16"/>
          <w:u w:val="none" w:color="auto"/>
        </w:rPr>
        <w:t>　　（一）产权调换房屋面积少于被征收房屋核算确定面积小于5平方米以内（含5平方米）选择高层住宅楼的按2690 元/平方米价格向被征收人退款；选择多层住宅楼的按2400元/平方米价格向被征收人退款；5平方米以外的按2000元/平方米价格向被征收人退款；</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（二）被征收人选择安置户型时，如选择超出核算确定后面积自行增加面积部分选择高层住宅楼的按2690 元/平方米购买；选择多层住宅楼的按2400元/平方米购买。</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（三）被征收人为下肢残疾或双目失明或有重大疾病不能上高楼层的，由房屋征收实施单位及相关部门核实证明，可照顾安置到低层。</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w:t>
      </w:r>
      <w:r>
        <w:rPr>
          <w:rFonts w:hint="eastAsia" w:ascii="宋体" w:hAnsi="宋体" w:cs="宋体"/>
          <w:b w:val="0"/>
          <w:bCs/>
          <w:sz w:val="21"/>
          <w:szCs w:val="16"/>
          <w:u w:val="none" w:color="auto"/>
          <w:lang w:eastAsia="zh-CN"/>
        </w:rPr>
        <w:t>八</w:t>
      </w:r>
      <w:r>
        <w:rPr>
          <w:rFonts w:hint="eastAsia" w:ascii="宋体" w:hAnsi="宋体" w:eastAsia="宋体" w:cs="宋体"/>
          <w:b w:val="0"/>
          <w:bCs/>
          <w:sz w:val="21"/>
          <w:szCs w:val="16"/>
          <w:u w:val="none" w:color="auto"/>
        </w:rPr>
        <w:t>、相关补助费、补偿费和奖励标准</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（一）搬迁补助费。</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住宅房屋的搬迁补助费按被征收房屋每户1000元给予补贴，不可移动的重型、大型设备搬迁按实际发生费用给予补贴。</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（二）选择回迁期房临时安置补助费。</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⒈</w:t>
      </w:r>
      <w:r>
        <w:rPr>
          <w:rFonts w:hint="eastAsia" w:ascii="宋体" w:hAnsi="宋体" w:cs="宋体"/>
          <w:b w:val="0"/>
          <w:bCs/>
          <w:sz w:val="21"/>
          <w:szCs w:val="16"/>
          <w:u w:val="none" w:color="auto"/>
          <w:lang w:val="en-US" w:eastAsia="zh-CN"/>
        </w:rPr>
        <w:t>过渡期限：自房屋征收产权调换协议书签订之日起至回迁房源交付使用为止。</w:t>
      </w:r>
      <w:r>
        <w:rPr>
          <w:rFonts w:hint="eastAsia" w:ascii="宋体" w:hAnsi="宋体" w:eastAsia="宋体" w:cs="宋体"/>
          <w:b w:val="0"/>
          <w:bCs/>
          <w:sz w:val="21"/>
          <w:szCs w:val="16"/>
          <w:u w:val="none" w:color="auto"/>
        </w:rPr>
        <w:t>在过渡期内，临时安置补偿费按被征收房屋所有权证标注建筑面积每月、每平方米8元计算。被征收房屋所有权证标注建筑面积不足50平方米的，按50平方米计算临时安置补偿费；</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⒉需要过冬的，每户每冬季按1000元标准发放越冬补助费。</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⒊被征收人选择货币补偿，不予补偿临时安置补助费。</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（三）奖励措施。</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征收房屋对被征收人实行奖励制度。对按照征收决定的签约期限内签订协议并搬迁的被征收人，选择产权调换的，按房屋产权证面积增加20％予以奖励；选择货币补偿的，按房屋产权证评估价20％给予奖励。逾期没有签订协议的，一律不得以任何形式给予奖励。</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（四）停产停业损失费的补偿。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对工商、税务登记手续齐全并事实经营，且房屋实际用途为生产、经营用房的，在征收决定公告之日仍在维持生产、经营，因房屋征收造成停产、停业损失的，按照下列方式给予补偿：</w:t>
      </w:r>
    </w:p>
    <w:p>
      <w:pPr>
        <w:widowControl w:val="0"/>
        <w:snapToGrid w:val="0"/>
        <w:spacing w:before="0" w:after="0" w:line="238" w:lineRule="atLeast"/>
        <w:ind w:left="0" w:right="0" w:firstLine="420"/>
        <w:jc w:val="both"/>
        <w:textAlignment w:val="baseline"/>
        <w:rPr>
          <w:rFonts w:hint="eastAsia" w:ascii="宋体" w:hAnsi="宋体" w:eastAsia="宋体" w:cs="宋体"/>
          <w:b w:val="0"/>
          <w:bCs/>
          <w:sz w:val="18"/>
          <w:szCs w:val="16"/>
          <w:u w:val="none" w:color="auto"/>
        </w:rPr>
      </w:pPr>
      <w:r>
        <w:rPr>
          <w:rFonts w:hint="eastAsia" w:ascii="宋体" w:hAnsi="宋体" w:cs="宋体"/>
          <w:b w:val="0"/>
          <w:bCs/>
          <w:sz w:val="21"/>
          <w:szCs w:val="16"/>
          <w:u w:val="none" w:color="auto"/>
          <w:lang w:val="en-US" w:eastAsia="zh-CN"/>
        </w:rPr>
        <w:t>1.住宅房屋持有有效工商营业执照的，停产停业</w:t>
      </w:r>
      <w:r>
        <w:rPr>
          <w:rFonts w:hint="eastAsia" w:ascii="宋体" w:hAnsi="宋体" w:eastAsia="宋体" w:cs="宋体"/>
          <w:b w:val="0"/>
          <w:bCs/>
          <w:sz w:val="21"/>
          <w:szCs w:val="16"/>
          <w:u w:val="none" w:color="auto"/>
        </w:rPr>
        <w:t>损失</w:t>
      </w:r>
      <w:r>
        <w:rPr>
          <w:rFonts w:hint="eastAsia" w:ascii="宋体" w:hAnsi="宋体" w:cs="宋体"/>
          <w:b w:val="0"/>
          <w:bCs/>
          <w:sz w:val="21"/>
          <w:szCs w:val="16"/>
          <w:u w:val="none" w:color="auto"/>
          <w:lang w:eastAsia="zh-CN"/>
        </w:rPr>
        <w:t>费</w:t>
      </w:r>
      <w:r>
        <w:rPr>
          <w:rFonts w:hint="eastAsia" w:ascii="宋体" w:hAnsi="宋体" w:eastAsia="宋体" w:cs="宋体"/>
          <w:b w:val="0"/>
          <w:bCs/>
          <w:sz w:val="21"/>
          <w:szCs w:val="16"/>
          <w:u w:val="none" w:color="auto"/>
        </w:rPr>
        <w:t>按照下列方式给予补偿：</w:t>
      </w:r>
    </w:p>
    <w:p>
      <w:pPr>
        <w:widowControl w:val="0"/>
        <w:snapToGrid w:val="0"/>
        <w:spacing w:before="0" w:after="0" w:line="238" w:lineRule="atLeast"/>
        <w:ind w:right="0" w:firstLine="420" w:firstLineChars="200"/>
        <w:jc w:val="both"/>
        <w:textAlignment w:val="baseline"/>
        <w:rPr>
          <w:rFonts w:hint="eastAsia" w:ascii="宋体" w:hAnsi="宋体" w:eastAsia="宋体" w:cs="宋体"/>
          <w:b w:val="0"/>
          <w:bCs/>
          <w:sz w:val="21"/>
          <w:szCs w:val="16"/>
          <w:u w:val="none" w:color="auto"/>
        </w:rPr>
      </w:pPr>
      <w:r>
        <w:rPr>
          <w:rFonts w:hint="eastAsia" w:ascii="宋体" w:hAnsi="宋体" w:eastAsia="宋体" w:cs="宋体"/>
          <w:b w:val="0"/>
          <w:bCs/>
          <w:sz w:val="21"/>
          <w:szCs w:val="16"/>
          <w:u w:val="none" w:color="auto"/>
        </w:rPr>
        <w:t xml:space="preserve"> </w:t>
      </w:r>
      <w:r>
        <w:rPr>
          <w:rFonts w:hint="eastAsia" w:ascii="宋体" w:hAnsi="宋体" w:eastAsia="宋体" w:cs="宋体"/>
          <w:b w:val="0"/>
          <w:bCs/>
          <w:sz w:val="21"/>
          <w:szCs w:val="16"/>
          <w:u w:val="none" w:color="auto"/>
        </w:rPr>
        <w:fldChar w:fldCharType="begin"/>
      </w:r>
      <w:r>
        <w:rPr>
          <w:rFonts w:hint="eastAsia" w:ascii="宋体" w:hAnsi="宋体" w:eastAsia="宋体" w:cs="宋体"/>
          <w:b w:val="0"/>
          <w:bCs/>
          <w:sz w:val="21"/>
          <w:szCs w:val="16"/>
          <w:u w:val="none" w:color="auto"/>
        </w:rPr>
        <w:instrText xml:space="preserve"> = 1 \* GB2 \* MERGEFORMAT </w:instrText>
      </w:r>
      <w:r>
        <w:rPr>
          <w:rFonts w:hint="eastAsia" w:ascii="宋体" w:hAnsi="宋体" w:eastAsia="宋体" w:cs="宋体"/>
          <w:b w:val="0"/>
          <w:bCs/>
          <w:sz w:val="21"/>
          <w:szCs w:val="16"/>
          <w:u w:val="none" w:color="auto"/>
        </w:rPr>
        <w:fldChar w:fldCharType="separate"/>
      </w:r>
      <w:r>
        <w:rPr>
          <w:b w:val="0"/>
          <w:bCs/>
          <w:u w:val="none" w:color="auto"/>
        </w:rPr>
        <w:t>⑴</w:t>
      </w:r>
      <w:r>
        <w:rPr>
          <w:rFonts w:hint="eastAsia" w:ascii="宋体" w:hAnsi="宋体" w:eastAsia="宋体" w:cs="宋体"/>
          <w:b w:val="0"/>
          <w:bCs/>
          <w:sz w:val="21"/>
          <w:szCs w:val="16"/>
          <w:u w:val="none" w:color="auto"/>
        </w:rPr>
        <w:fldChar w:fldCharType="end"/>
      </w:r>
      <w:r>
        <w:rPr>
          <w:rFonts w:hint="eastAsia" w:ascii="宋体" w:hAnsi="宋体" w:cs="宋体"/>
          <w:b w:val="0"/>
          <w:bCs/>
          <w:sz w:val="21"/>
          <w:szCs w:val="16"/>
          <w:u w:val="none" w:color="auto"/>
          <w:lang w:eastAsia="zh-CN"/>
        </w:rPr>
        <w:t>以工商营业执照注册日期为准</w:t>
      </w:r>
      <w:r>
        <w:rPr>
          <w:rFonts w:hint="eastAsia" w:ascii="宋体" w:hAnsi="宋体" w:eastAsia="宋体" w:cs="宋体"/>
          <w:b w:val="0"/>
          <w:bCs/>
          <w:sz w:val="21"/>
          <w:szCs w:val="16"/>
          <w:u w:val="none" w:color="auto"/>
        </w:rPr>
        <w:t>，</w:t>
      </w:r>
      <w:r>
        <w:rPr>
          <w:rFonts w:hint="eastAsia" w:ascii="宋体" w:hAnsi="宋体" w:cs="宋体"/>
          <w:b w:val="0"/>
          <w:bCs/>
          <w:sz w:val="21"/>
          <w:szCs w:val="16"/>
          <w:u w:val="none" w:color="auto"/>
          <w:lang w:eastAsia="zh-CN"/>
        </w:rPr>
        <w:t>被征收人经营</w:t>
      </w:r>
      <w:r>
        <w:rPr>
          <w:rFonts w:hint="eastAsia" w:ascii="宋体" w:hAnsi="宋体" w:cs="宋体"/>
          <w:b w:val="0"/>
          <w:bCs/>
          <w:sz w:val="21"/>
          <w:szCs w:val="16"/>
          <w:u w:val="none" w:color="auto"/>
          <w:lang w:val="en-US" w:eastAsia="zh-CN"/>
        </w:rPr>
        <w:t>5年（含第5年）以下的，</w:t>
      </w:r>
      <w:r>
        <w:rPr>
          <w:rFonts w:hint="eastAsia" w:ascii="宋体" w:hAnsi="宋体" w:eastAsia="宋体" w:cs="宋体"/>
          <w:b w:val="0"/>
          <w:bCs/>
          <w:sz w:val="21"/>
          <w:szCs w:val="16"/>
          <w:u w:val="none" w:color="auto"/>
        </w:rPr>
        <w:t>按被征收房屋实际经营面积评估价值的10%给予经营者一次性补偿；</w:t>
      </w:r>
    </w:p>
    <w:p>
      <w:pPr>
        <w:widowControl w:val="0"/>
        <w:snapToGrid w:val="0"/>
        <w:spacing w:before="0" w:after="0" w:line="238" w:lineRule="atLeast"/>
        <w:ind w:left="0" w:right="0" w:firstLine="420" w:firstLineChars="200"/>
        <w:jc w:val="both"/>
        <w:textAlignment w:val="baseline"/>
        <w:rPr>
          <w:rFonts w:hint="eastAsia" w:ascii="宋体" w:hAnsi="宋体" w:eastAsia="宋体" w:cs="宋体"/>
          <w:b w:val="0"/>
          <w:bCs/>
          <w:sz w:val="21"/>
          <w:szCs w:val="16"/>
          <w:u w:val="none" w:color="auto"/>
        </w:rPr>
      </w:pPr>
      <w:r>
        <w:rPr>
          <w:rFonts w:hint="eastAsia" w:ascii="宋体" w:hAnsi="宋体" w:eastAsia="宋体" w:cs="宋体"/>
          <w:b w:val="0"/>
          <w:bCs/>
          <w:sz w:val="21"/>
          <w:szCs w:val="16"/>
          <w:u w:val="none" w:color="auto"/>
        </w:rPr>
        <w:fldChar w:fldCharType="begin"/>
      </w:r>
      <w:r>
        <w:rPr>
          <w:rFonts w:hint="eastAsia" w:ascii="宋体" w:hAnsi="宋体" w:eastAsia="宋体" w:cs="宋体"/>
          <w:b w:val="0"/>
          <w:bCs/>
          <w:sz w:val="21"/>
          <w:szCs w:val="16"/>
          <w:u w:val="none" w:color="auto"/>
        </w:rPr>
        <w:instrText xml:space="preserve"> = 2 \* GB2 \* MERGEFORMAT </w:instrText>
      </w:r>
      <w:r>
        <w:rPr>
          <w:rFonts w:hint="eastAsia" w:ascii="宋体" w:hAnsi="宋体" w:eastAsia="宋体" w:cs="宋体"/>
          <w:b w:val="0"/>
          <w:bCs/>
          <w:sz w:val="21"/>
          <w:szCs w:val="16"/>
          <w:u w:val="none" w:color="auto"/>
        </w:rPr>
        <w:fldChar w:fldCharType="separate"/>
      </w:r>
      <w:r>
        <w:rPr>
          <w:b w:val="0"/>
          <w:bCs/>
          <w:u w:val="none" w:color="auto"/>
        </w:rPr>
        <w:t>⑵</w:t>
      </w:r>
      <w:r>
        <w:rPr>
          <w:rFonts w:hint="eastAsia" w:ascii="宋体" w:hAnsi="宋体" w:eastAsia="宋体" w:cs="宋体"/>
          <w:b w:val="0"/>
          <w:bCs/>
          <w:sz w:val="21"/>
          <w:szCs w:val="16"/>
          <w:u w:val="none" w:color="auto"/>
        </w:rPr>
        <w:fldChar w:fldCharType="end"/>
      </w:r>
      <w:r>
        <w:rPr>
          <w:rFonts w:hint="eastAsia" w:ascii="宋体" w:hAnsi="宋体" w:cs="宋体"/>
          <w:b w:val="0"/>
          <w:bCs/>
          <w:sz w:val="21"/>
          <w:szCs w:val="16"/>
          <w:u w:val="none" w:color="auto"/>
          <w:lang w:eastAsia="zh-CN"/>
        </w:rPr>
        <w:t>以工商营业执照注册日期为准</w:t>
      </w:r>
      <w:r>
        <w:rPr>
          <w:rFonts w:hint="eastAsia" w:ascii="宋体" w:hAnsi="宋体" w:eastAsia="宋体" w:cs="宋体"/>
          <w:b w:val="0"/>
          <w:bCs/>
          <w:sz w:val="21"/>
          <w:szCs w:val="16"/>
          <w:u w:val="none" w:color="auto"/>
        </w:rPr>
        <w:t>，</w:t>
      </w:r>
      <w:r>
        <w:rPr>
          <w:rFonts w:hint="eastAsia" w:ascii="宋体" w:hAnsi="宋体" w:cs="宋体"/>
          <w:b w:val="0"/>
          <w:bCs/>
          <w:sz w:val="21"/>
          <w:szCs w:val="16"/>
          <w:u w:val="none" w:color="auto"/>
          <w:lang w:eastAsia="zh-CN"/>
        </w:rPr>
        <w:t>被征收人经营</w:t>
      </w:r>
      <w:r>
        <w:rPr>
          <w:rFonts w:hint="eastAsia" w:ascii="宋体" w:hAnsi="宋体" w:cs="宋体"/>
          <w:b w:val="0"/>
          <w:bCs/>
          <w:sz w:val="21"/>
          <w:szCs w:val="16"/>
          <w:u w:val="none" w:color="auto"/>
          <w:lang w:val="en-US" w:eastAsia="zh-CN"/>
        </w:rPr>
        <w:t>6年至10年（含第10年）的，</w:t>
      </w:r>
      <w:r>
        <w:rPr>
          <w:rFonts w:hint="eastAsia" w:ascii="宋体" w:hAnsi="宋体" w:eastAsia="宋体" w:cs="宋体"/>
          <w:b w:val="0"/>
          <w:bCs/>
          <w:sz w:val="21"/>
          <w:szCs w:val="16"/>
          <w:u w:val="none" w:color="auto"/>
        </w:rPr>
        <w:t>按被征收房屋实际经营面积评估价值的1</w:t>
      </w:r>
      <w:r>
        <w:rPr>
          <w:rFonts w:hint="eastAsia" w:ascii="宋体" w:hAnsi="宋体" w:cs="宋体"/>
          <w:b w:val="0"/>
          <w:bCs/>
          <w:sz w:val="21"/>
          <w:szCs w:val="16"/>
          <w:u w:val="none" w:color="auto"/>
          <w:lang w:val="en-US" w:eastAsia="zh-CN"/>
        </w:rPr>
        <w:t>5</w:t>
      </w:r>
      <w:r>
        <w:rPr>
          <w:rFonts w:hint="eastAsia" w:ascii="宋体" w:hAnsi="宋体" w:eastAsia="宋体" w:cs="宋体"/>
          <w:b w:val="0"/>
          <w:bCs/>
          <w:sz w:val="21"/>
          <w:szCs w:val="16"/>
          <w:u w:val="none" w:color="auto"/>
        </w:rPr>
        <w:t>%给予经营者一次性补偿；</w:t>
      </w:r>
    </w:p>
    <w:p>
      <w:pPr>
        <w:widowControl w:val="0"/>
        <w:snapToGrid w:val="0"/>
        <w:spacing w:before="0" w:after="0" w:line="238" w:lineRule="atLeast"/>
        <w:ind w:left="0" w:right="0" w:firstLine="420" w:firstLineChars="200"/>
        <w:jc w:val="both"/>
        <w:textAlignment w:val="baseline"/>
        <w:rPr>
          <w:rFonts w:hint="eastAsia" w:ascii="宋体" w:hAnsi="宋体" w:eastAsia="宋体" w:cs="宋体"/>
          <w:b w:val="0"/>
          <w:bCs/>
          <w:sz w:val="21"/>
          <w:szCs w:val="16"/>
          <w:u w:val="none" w:color="auto"/>
        </w:rPr>
      </w:pPr>
      <w:r>
        <w:rPr>
          <w:rFonts w:hint="eastAsia" w:ascii="宋体" w:hAnsi="宋体" w:eastAsia="宋体" w:cs="宋体"/>
          <w:b w:val="0"/>
          <w:bCs/>
          <w:sz w:val="21"/>
          <w:szCs w:val="16"/>
          <w:u w:val="none" w:color="auto"/>
        </w:rPr>
        <w:fldChar w:fldCharType="begin"/>
      </w:r>
      <w:r>
        <w:rPr>
          <w:rFonts w:hint="eastAsia" w:ascii="宋体" w:hAnsi="宋体" w:eastAsia="宋体" w:cs="宋体"/>
          <w:b w:val="0"/>
          <w:bCs/>
          <w:sz w:val="21"/>
          <w:szCs w:val="16"/>
          <w:u w:val="none" w:color="auto"/>
        </w:rPr>
        <w:instrText xml:space="preserve"> = 3 \* GB2 \* MERGEFORMAT </w:instrText>
      </w:r>
      <w:r>
        <w:rPr>
          <w:rFonts w:hint="eastAsia" w:ascii="宋体" w:hAnsi="宋体" w:eastAsia="宋体" w:cs="宋体"/>
          <w:b w:val="0"/>
          <w:bCs/>
          <w:sz w:val="21"/>
          <w:szCs w:val="16"/>
          <w:u w:val="none" w:color="auto"/>
        </w:rPr>
        <w:fldChar w:fldCharType="separate"/>
      </w:r>
      <w:r>
        <w:rPr>
          <w:b w:val="0"/>
          <w:bCs/>
          <w:u w:val="none" w:color="auto"/>
        </w:rPr>
        <w:t>⑶</w:t>
      </w:r>
      <w:r>
        <w:rPr>
          <w:rFonts w:hint="eastAsia" w:ascii="宋体" w:hAnsi="宋体" w:eastAsia="宋体" w:cs="宋体"/>
          <w:b w:val="0"/>
          <w:bCs/>
          <w:sz w:val="21"/>
          <w:szCs w:val="16"/>
          <w:u w:val="none" w:color="auto"/>
        </w:rPr>
        <w:fldChar w:fldCharType="end"/>
      </w:r>
      <w:r>
        <w:rPr>
          <w:rFonts w:hint="eastAsia" w:ascii="宋体" w:hAnsi="宋体" w:cs="宋体"/>
          <w:b w:val="0"/>
          <w:bCs/>
          <w:sz w:val="21"/>
          <w:szCs w:val="16"/>
          <w:u w:val="none" w:color="auto"/>
          <w:lang w:eastAsia="zh-CN"/>
        </w:rPr>
        <w:t>以工商营业执照注册日期为准</w:t>
      </w:r>
      <w:r>
        <w:rPr>
          <w:rFonts w:hint="eastAsia" w:ascii="宋体" w:hAnsi="宋体" w:eastAsia="宋体" w:cs="宋体"/>
          <w:b w:val="0"/>
          <w:bCs/>
          <w:sz w:val="21"/>
          <w:szCs w:val="16"/>
          <w:u w:val="none" w:color="auto"/>
        </w:rPr>
        <w:t>，</w:t>
      </w:r>
      <w:r>
        <w:rPr>
          <w:rFonts w:hint="eastAsia" w:ascii="宋体" w:hAnsi="宋体" w:cs="宋体"/>
          <w:b w:val="0"/>
          <w:bCs/>
          <w:sz w:val="21"/>
          <w:szCs w:val="16"/>
          <w:u w:val="none" w:color="auto"/>
          <w:lang w:eastAsia="zh-CN"/>
        </w:rPr>
        <w:t>被征收人经营</w:t>
      </w:r>
      <w:r>
        <w:rPr>
          <w:rFonts w:hint="eastAsia" w:ascii="宋体" w:hAnsi="宋体" w:cs="宋体"/>
          <w:b w:val="0"/>
          <w:bCs/>
          <w:sz w:val="21"/>
          <w:szCs w:val="16"/>
          <w:u w:val="none" w:color="auto"/>
          <w:lang w:val="en-US" w:eastAsia="zh-CN"/>
        </w:rPr>
        <w:t>10年以上（不含第10年）的，</w:t>
      </w:r>
      <w:r>
        <w:rPr>
          <w:rFonts w:hint="eastAsia" w:ascii="宋体" w:hAnsi="宋体" w:eastAsia="宋体" w:cs="宋体"/>
          <w:b w:val="0"/>
          <w:bCs/>
          <w:sz w:val="21"/>
          <w:szCs w:val="16"/>
          <w:u w:val="none" w:color="auto"/>
        </w:rPr>
        <w:t>按被征收房屋实际经营面积评估价值的</w:t>
      </w:r>
      <w:r>
        <w:rPr>
          <w:rFonts w:hint="eastAsia" w:ascii="宋体" w:hAnsi="宋体" w:cs="宋体"/>
          <w:b w:val="0"/>
          <w:bCs/>
          <w:sz w:val="21"/>
          <w:szCs w:val="16"/>
          <w:u w:val="none" w:color="auto"/>
          <w:lang w:val="en-US" w:eastAsia="zh-CN"/>
        </w:rPr>
        <w:t>20</w:t>
      </w:r>
      <w:r>
        <w:rPr>
          <w:rFonts w:hint="eastAsia" w:ascii="宋体" w:hAnsi="宋体" w:eastAsia="宋体" w:cs="宋体"/>
          <w:b w:val="0"/>
          <w:bCs/>
          <w:sz w:val="21"/>
          <w:szCs w:val="16"/>
          <w:u w:val="none" w:color="auto"/>
        </w:rPr>
        <w:t>%给予经营者一次性补偿；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w:t>
      </w:r>
      <w:r>
        <w:rPr>
          <w:rFonts w:hint="eastAsia" w:ascii="宋体" w:hAnsi="宋体" w:cs="宋体"/>
          <w:b w:val="0"/>
          <w:bCs/>
          <w:sz w:val="21"/>
          <w:szCs w:val="16"/>
          <w:u w:val="none" w:color="auto"/>
          <w:lang w:val="en-US" w:eastAsia="zh-CN"/>
        </w:rPr>
        <w:t xml:space="preserve"> </w:t>
      </w:r>
      <w:r>
        <w:rPr>
          <w:rFonts w:hint="eastAsia" w:ascii="宋体" w:hAnsi="宋体" w:eastAsia="宋体" w:cs="宋体"/>
          <w:b w:val="0"/>
          <w:bCs/>
          <w:sz w:val="21"/>
          <w:szCs w:val="16"/>
          <w:u w:val="none" w:color="auto"/>
        </w:rPr>
        <w:t xml:space="preserve"> </w:t>
      </w:r>
      <w:r>
        <w:rPr>
          <w:rFonts w:hint="eastAsia" w:ascii="宋体" w:hAnsi="宋体" w:cs="宋体"/>
          <w:b w:val="0"/>
          <w:bCs/>
          <w:sz w:val="21"/>
          <w:szCs w:val="16"/>
          <w:u w:val="none" w:color="auto"/>
          <w:lang w:val="en-US" w:eastAsia="zh-CN"/>
        </w:rPr>
        <w:t>2.</w:t>
      </w:r>
      <w:r>
        <w:rPr>
          <w:rFonts w:hint="eastAsia" w:ascii="宋体" w:hAnsi="宋体" w:eastAsia="宋体" w:cs="宋体"/>
          <w:b w:val="0"/>
          <w:bCs/>
          <w:sz w:val="21"/>
          <w:szCs w:val="16"/>
          <w:u w:val="none" w:color="auto"/>
        </w:rPr>
        <w:t>被征收人自行经营的，停产停业损失费补偿给被征收人；承租人经营的，停产停业损失费被征收人和承租人各50%。</w:t>
      </w:r>
    </w:p>
    <w:p>
      <w:pPr>
        <w:widowControl w:val="0"/>
        <w:snapToGrid w:val="0"/>
        <w:spacing w:before="0" w:after="0" w:line="238" w:lineRule="atLeast"/>
        <w:ind w:left="0" w:right="0" w:firstLine="0"/>
        <w:jc w:val="both"/>
        <w:textAlignment w:val="baseline"/>
        <w:rPr>
          <w:rFonts w:hint="eastAsia" w:ascii="宋体" w:hAnsi="宋体" w:eastAsia="宋体" w:cs="宋体"/>
          <w:b w:val="0"/>
          <w:bCs/>
          <w:i w:val="0"/>
          <w:sz w:val="21"/>
          <w:szCs w:val="16"/>
          <w:u w:val="none" w:color="auto"/>
        </w:rPr>
      </w:pPr>
      <w:r>
        <w:rPr>
          <w:rFonts w:hint="eastAsia" w:ascii="宋体" w:hAnsi="宋体" w:eastAsia="宋体" w:cs="宋体"/>
          <w:b w:val="0"/>
          <w:bCs/>
          <w:sz w:val="21"/>
          <w:szCs w:val="16"/>
          <w:u w:val="none" w:color="auto"/>
        </w:rPr>
        <w:t xml:space="preserve">   </w:t>
      </w:r>
      <w:r>
        <w:rPr>
          <w:rFonts w:hint="eastAsia" w:ascii="宋体" w:hAnsi="宋体" w:cs="宋体"/>
          <w:b w:val="0"/>
          <w:bCs/>
          <w:sz w:val="21"/>
          <w:szCs w:val="16"/>
          <w:u w:val="none" w:color="auto"/>
          <w:lang w:val="en-US" w:eastAsia="zh-CN"/>
        </w:rPr>
        <w:t xml:space="preserve"> 3.</w:t>
      </w:r>
      <w:r>
        <w:rPr>
          <w:rFonts w:hint="eastAsia" w:ascii="宋体" w:hAnsi="宋体" w:eastAsia="宋体" w:cs="宋体"/>
          <w:b w:val="0"/>
          <w:bCs/>
          <w:sz w:val="21"/>
          <w:szCs w:val="16"/>
          <w:u w:val="none" w:color="auto"/>
        </w:rPr>
        <w:t>被征收房屋产权登记为住宅房屋而事实用于经营，但工商、税务登记手续不齐全的，停产停业损失补偿参照本条第（四）项、第2目</w:t>
      </w:r>
      <w:r>
        <w:rPr>
          <w:rFonts w:hint="eastAsia" w:ascii="宋体" w:hAnsi="宋体" w:eastAsia="宋体" w:cs="宋体"/>
          <w:b w:val="0"/>
          <w:bCs/>
          <w:i w:val="0"/>
          <w:sz w:val="21"/>
          <w:szCs w:val="16"/>
          <w:u w:val="none" w:color="auto"/>
        </w:rPr>
        <w:t>补偿标准的50%执行。对具有工商手续，但生产、经营活动不在征收范围内进行的，不给予停产停业损失补偿。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w:t>
      </w:r>
      <w:r>
        <w:rPr>
          <w:rFonts w:hint="eastAsia" w:ascii="宋体" w:hAnsi="宋体" w:cs="宋体"/>
          <w:b w:val="0"/>
          <w:bCs/>
          <w:sz w:val="21"/>
          <w:szCs w:val="16"/>
          <w:u w:val="none" w:color="auto"/>
          <w:lang w:eastAsia="zh-CN"/>
        </w:rPr>
        <w:t>九</w:t>
      </w:r>
      <w:r>
        <w:rPr>
          <w:rFonts w:hint="eastAsia" w:ascii="宋体" w:hAnsi="宋体" w:eastAsia="宋体" w:cs="宋体"/>
          <w:b w:val="0"/>
          <w:bCs/>
          <w:sz w:val="21"/>
          <w:szCs w:val="16"/>
          <w:u w:val="none" w:color="auto"/>
        </w:rPr>
        <w:t>、搬迁过渡方式</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本次房屋征收，搬迁过渡方式为自行过渡。</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十、解决争议方式</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（一）未签约解决争议方式。</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房屋征收部门与被征收人经协商未达成补偿协议的，或者被征收房屋所有权人不明确或房屋所有权人下落不明的，由房屋征收单位报请市人民政府，按照本征收补偿方案作出补偿决定，并在房屋征收范围内予以公告。</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被征收人对补偿决定不服的，可以依法申请行政复议，也可以依法提起行政诉讼。</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被征收人在法定期限内不申请行政复议或者不提起行政诉讼，在补偿决定规定的期限内拒不搬迁的，由市人民政府依法申请人民法院强制执行。</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（二）已签约未交房解决争议方式。</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被征收人签约后，在约定的时间内拒绝腾空让房的，由市人民政府申请人民法院依法强制搬迁。</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十</w:t>
      </w:r>
      <w:r>
        <w:rPr>
          <w:rFonts w:hint="eastAsia" w:ascii="宋体" w:hAnsi="宋体" w:cs="宋体"/>
          <w:b w:val="0"/>
          <w:bCs/>
          <w:sz w:val="21"/>
          <w:szCs w:val="16"/>
          <w:u w:val="none" w:color="auto"/>
          <w:lang w:eastAsia="zh-CN"/>
        </w:rPr>
        <w:t>一</w:t>
      </w:r>
      <w:r>
        <w:rPr>
          <w:rFonts w:hint="eastAsia" w:ascii="宋体" w:hAnsi="宋体" w:eastAsia="宋体" w:cs="宋体"/>
          <w:b w:val="0"/>
          <w:bCs/>
          <w:sz w:val="21"/>
          <w:szCs w:val="16"/>
          <w:u w:val="none" w:color="auto"/>
        </w:rPr>
        <w:t>、本方案最终解释权在双辽市人民政府。　</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r>
        <w:rPr>
          <w:rFonts w:hint="eastAsia" w:ascii="宋体" w:hAnsi="宋体" w:eastAsia="宋体" w:cs="宋体"/>
          <w:b w:val="0"/>
          <w:bCs/>
          <w:sz w:val="21"/>
          <w:szCs w:val="16"/>
          <w:u w:val="none" w:color="auto"/>
        </w:rPr>
        <w:t xml:space="preserve">    十</w:t>
      </w:r>
      <w:r>
        <w:rPr>
          <w:rFonts w:hint="eastAsia" w:ascii="宋体" w:hAnsi="宋体" w:cs="宋体"/>
          <w:b w:val="0"/>
          <w:bCs/>
          <w:sz w:val="21"/>
          <w:szCs w:val="16"/>
          <w:u w:val="none" w:color="auto"/>
          <w:lang w:eastAsia="zh-CN"/>
        </w:rPr>
        <w:t>二</w:t>
      </w:r>
      <w:r>
        <w:rPr>
          <w:rFonts w:hint="eastAsia" w:ascii="宋体" w:hAnsi="宋体" w:eastAsia="宋体" w:cs="宋体"/>
          <w:b w:val="0"/>
          <w:bCs/>
          <w:sz w:val="21"/>
          <w:szCs w:val="16"/>
          <w:u w:val="none" w:color="auto"/>
        </w:rPr>
        <w:t>、如出台新政策、文件，参照新政策、文件执行。</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p>
    <w:p>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pPr>
        <w:widowControl w:val="0"/>
        <w:snapToGrid w:val="0"/>
        <w:spacing w:before="0" w:after="0" w:line="368" w:lineRule="atLeast"/>
        <w:ind w:left="0" w:right="0" w:firstLine="0"/>
        <w:jc w:val="both"/>
        <w:textAlignment w:val="baseline"/>
        <w:rPr>
          <w:rFonts w:hint="eastAsia" w:ascii="宋体" w:hAnsi="宋体" w:eastAsia="宋体" w:cs="宋体"/>
          <w:b w:val="0"/>
          <w:bCs/>
          <w:sz w:val="21"/>
          <w:szCs w:val="20"/>
          <w:u w:val="none" w:color="auto"/>
        </w:rPr>
      </w:pPr>
      <w:r>
        <w:rPr>
          <w:rFonts w:hint="eastAsia" w:ascii="宋体" w:hAnsi="宋体" w:eastAsia="宋体" w:cs="宋体"/>
          <w:b w:val="0"/>
          <w:bCs/>
          <w:sz w:val="40"/>
          <w:szCs w:val="16"/>
          <w:u w:val="none" w:color="auto"/>
        </w:rPr>
        <w:t xml:space="preserve">              </w:t>
      </w:r>
      <w:r>
        <w:rPr>
          <w:rFonts w:hint="eastAsia" w:ascii="宋体" w:hAnsi="宋体" w:eastAsia="宋体" w:cs="宋体"/>
          <w:b w:val="0"/>
          <w:bCs/>
          <w:sz w:val="28"/>
          <w:szCs w:val="16"/>
          <w:u w:val="none" w:color="auto"/>
        </w:rPr>
        <w:t xml:space="preserve"> </w:t>
      </w:r>
      <w:r>
        <w:rPr>
          <w:rFonts w:hint="eastAsia" w:ascii="宋体" w:hAnsi="宋体" w:eastAsia="宋体" w:cs="宋体"/>
          <w:b w:val="0"/>
          <w:bCs/>
          <w:sz w:val="36"/>
          <w:szCs w:val="20"/>
          <w:u w:val="none" w:color="auto"/>
        </w:rPr>
        <w:t>双辽市人民政府</w:t>
      </w:r>
    </w:p>
    <w:p>
      <w:pPr>
        <w:widowControl w:val="0"/>
        <w:snapToGrid w:val="0"/>
        <w:spacing w:before="0" w:after="0" w:line="379" w:lineRule="atLeast"/>
        <w:ind w:left="0" w:right="0" w:firstLine="0"/>
        <w:jc w:val="both"/>
        <w:textAlignment w:val="baseline"/>
        <w:rPr>
          <w:rFonts w:hint="eastAsia" w:ascii="宋体" w:hAnsi="宋体" w:eastAsia="宋体" w:cs="宋体"/>
          <w:b w:val="0"/>
          <w:bCs/>
          <w:sz w:val="21"/>
          <w:szCs w:val="20"/>
          <w:u w:val="none" w:color="auto"/>
        </w:rPr>
      </w:pPr>
      <w:r>
        <w:rPr>
          <w:rFonts w:hint="eastAsia" w:ascii="宋体" w:hAnsi="宋体" w:eastAsia="宋体" w:cs="宋体"/>
          <w:b w:val="0"/>
          <w:bCs/>
          <w:sz w:val="36"/>
          <w:szCs w:val="20"/>
          <w:u w:val="none" w:color="auto"/>
        </w:rPr>
        <w:t xml:space="preserve">         </w:t>
      </w:r>
    </w:p>
    <w:p>
      <w:pPr>
        <w:widowControl w:val="0"/>
        <w:snapToGrid w:val="0"/>
        <w:spacing w:before="0" w:after="0" w:line="379" w:lineRule="atLeast"/>
        <w:ind w:left="0" w:right="0" w:firstLine="0"/>
        <w:jc w:val="both"/>
        <w:textAlignment w:val="baseline"/>
        <w:rPr>
          <w:rFonts w:hint="eastAsia" w:ascii="宋体" w:hAnsi="宋体" w:eastAsia="宋体" w:cs="宋体"/>
          <w:b w:val="0"/>
          <w:bCs/>
          <w:sz w:val="21"/>
          <w:szCs w:val="20"/>
          <w:u w:val="none" w:color="auto"/>
        </w:rPr>
      </w:pPr>
      <w:r>
        <w:rPr>
          <w:rFonts w:hint="eastAsia" w:ascii="宋体" w:hAnsi="宋体" w:eastAsia="宋体" w:cs="宋体"/>
          <w:b w:val="0"/>
          <w:bCs/>
          <w:sz w:val="36"/>
          <w:szCs w:val="20"/>
          <w:u w:val="none" w:color="auto"/>
        </w:rPr>
        <w:t xml:space="preserve">            </w:t>
      </w:r>
      <w:r>
        <w:rPr>
          <w:rFonts w:hint="eastAsia" w:ascii="宋体" w:hAnsi="宋体" w:cs="宋体"/>
          <w:b w:val="0"/>
          <w:bCs/>
          <w:sz w:val="36"/>
          <w:szCs w:val="20"/>
          <w:u w:val="none" w:color="auto"/>
          <w:lang w:val="en-US" w:eastAsia="zh-CN"/>
        </w:rPr>
        <w:t xml:space="preserve">   2021</w:t>
      </w:r>
      <w:r>
        <w:rPr>
          <w:rFonts w:hint="eastAsia" w:ascii="宋体" w:hAnsi="宋体" w:eastAsia="宋体" w:cs="宋体"/>
          <w:b w:val="0"/>
          <w:bCs/>
          <w:sz w:val="36"/>
          <w:szCs w:val="20"/>
          <w:u w:val="none" w:color="auto"/>
        </w:rPr>
        <w:t>年</w:t>
      </w:r>
      <w:r>
        <w:rPr>
          <w:rFonts w:hint="eastAsia" w:ascii="宋体" w:hAnsi="宋体" w:cs="宋体"/>
          <w:b w:val="0"/>
          <w:bCs/>
          <w:sz w:val="36"/>
          <w:szCs w:val="20"/>
          <w:u w:val="none" w:color="auto"/>
          <w:lang w:val="en-US" w:eastAsia="zh-CN"/>
        </w:rPr>
        <w:t>11</w:t>
      </w:r>
      <w:r>
        <w:rPr>
          <w:rFonts w:hint="eastAsia" w:ascii="宋体" w:hAnsi="宋体" w:eastAsia="宋体" w:cs="宋体"/>
          <w:b w:val="0"/>
          <w:bCs/>
          <w:sz w:val="36"/>
          <w:szCs w:val="20"/>
          <w:u w:val="none" w:color="auto"/>
        </w:rPr>
        <w:t>月</w:t>
      </w:r>
      <w:r>
        <w:rPr>
          <w:rFonts w:hint="eastAsia" w:ascii="宋体" w:hAnsi="宋体" w:cs="宋体"/>
          <w:b w:val="0"/>
          <w:bCs/>
          <w:sz w:val="36"/>
          <w:szCs w:val="20"/>
          <w:u w:val="none" w:color="auto"/>
          <w:lang w:val="en-US" w:eastAsia="zh-CN"/>
        </w:rPr>
        <w:t>18</w:t>
      </w:r>
      <w:r>
        <w:rPr>
          <w:rFonts w:hint="eastAsia" w:ascii="宋体" w:hAnsi="宋体" w:eastAsia="宋体" w:cs="宋体"/>
          <w:b w:val="0"/>
          <w:bCs/>
          <w:sz w:val="36"/>
          <w:szCs w:val="20"/>
          <w:u w:val="none" w:color="auto"/>
        </w:rPr>
        <w:t>日</w:t>
      </w:r>
    </w:p>
    <w:p>
      <w:pPr>
        <w:rPr>
          <w:rFonts w:hint="eastAsia" w:ascii="宋体" w:hAnsi="宋体" w:eastAsia="宋体" w:cs="宋体"/>
          <w:b w:val="0"/>
          <w:bCs/>
          <w:sz w:val="18"/>
          <w:szCs w:val="16"/>
          <w:u w:val="none" w:color="auto"/>
        </w:rPr>
      </w:pPr>
    </w:p>
    <w:sectPr>
      <w:headerReference r:id="rId7" w:type="first"/>
      <w:footerReference r:id="rId10" w:type="first"/>
      <w:headerReference r:id="rId5" w:type="default"/>
      <w:footerReference r:id="rId8" w:type="default"/>
      <w:headerReference r:id="rId6" w:type="even"/>
      <w:footerReference r:id="rId9" w:type="even"/>
      <w:footnotePr>
        <w:numFmt w:val="decimal"/>
      </w:footnotePr>
      <w:endnotePr>
        <w:numFmt w:val="decimal"/>
      </w:endnotePr>
      <w:pgSz w:w="23810" w:h="16837"/>
      <w:pgMar w:top="720" w:right="720" w:bottom="720" w:left="720" w:header="283" w:footer="283" w:gutter="0"/>
      <w:pgNumType w:start="1"/>
      <w:cols w:equalWidth="0" w:num="3">
        <w:col w:w="7122" w:space="425"/>
        <w:col w:w="7276" w:space="425"/>
        <w:col w:w="71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66432" behindDoc="1" locked="0" layoutInCell="1" allowOverlap="1">
              <wp:simplePos x="0" y="0"/>
              <wp:positionH relativeFrom="page">
                <wp:posOffset>359410</wp:posOffset>
              </wp:positionH>
              <wp:positionV relativeFrom="page">
                <wp:posOffset>10378440</wp:posOffset>
              </wp:positionV>
              <wp:extent cx="14399895" cy="132715"/>
              <wp:effectExtent l="0" t="0" r="0" b="0"/>
              <wp:wrapNone/>
              <wp:docPr id="8" name="文本框 9"/>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9" o:spid="_x0000_s1026" o:spt="202" type="#_x0000_t202" style="position:absolute;left:0pt;margin-left:28.3pt;margin-top:817.2pt;height:10.45pt;width:1133.85pt;mso-position-horizontal-relative:page;mso-position-vertical-relative:page;z-index:-251650048;mso-width-relative:page;mso-height-relative:page;" filled="f" stroked="f" coordsize="21600,21600" o:gfxdata="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WKKtgAAAANAQAADwAAAAAAAAABACAAAAAi&#10;AAAAZHJzL2Rvd25yZXYueG1sUEsBAhQAFAAAAAgAh07iQAm4pXgKAgAABgQAAA4AAAAAAAAAAQAg&#10;AAAAJwEAAGRycy9lMm9Eb2MueG1sUEsFBgAAAAAGAAYAWQEAAKMFAAAAAA==&#10;">
              <v:fill on="f" focussize="0,0"/>
              <v:stroke on="f"/>
              <v:imagedata o:title=""/>
              <o:lock v:ext="edit" aspectratio="f"/>
              <v:shadow on="t" color="#A0A0A4" offset="0pt,0pt" origin="0f,0f" matrix="65536f,0f,0f,65536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65408" behindDoc="1" locked="0" layoutInCell="1" allowOverlap="1">
              <wp:simplePos x="0" y="0"/>
              <wp:positionH relativeFrom="page">
                <wp:posOffset>359410</wp:posOffset>
              </wp:positionH>
              <wp:positionV relativeFrom="page">
                <wp:posOffset>10378440</wp:posOffset>
              </wp:positionV>
              <wp:extent cx="14399895" cy="132715"/>
              <wp:effectExtent l="0" t="0" r="0" b="0"/>
              <wp:wrapNone/>
              <wp:docPr id="7" name="文本框 8"/>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8" o:spid="_x0000_s1026" o:spt="202" type="#_x0000_t202" style="position:absolute;left:0pt;margin-left:28.3pt;margin-top:817.2pt;height:10.45pt;width:1133.85pt;mso-position-horizontal-relative:page;mso-position-vertical-relative:page;z-index:-251651072;mso-width-relative:page;mso-height-relative:page;" filled="f" stroked="f" coordsize="21600,21600" o:gfxdata="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v1iirYAAAADQEAAA8AAAAAAAAAAQAgAAAA&#10;IgAAAGRycy9kb3ducmV2LnhtbFBLAQIUABQAAAAIAIdO4kC6WOLrCwIAAAYEAAAOAAAAAAAAAAEA&#10;IAAAACcBAABkcnMvZTJvRG9jLnhtbFBLBQYAAAAABgAGAFkBAACkBQAAAAA=&#10;">
              <v:fill on="f" focussize="0,0"/>
              <v:stroke on="f"/>
              <v:imagedata o:title=""/>
              <o:lock v:ext="edit" aspectratio="f"/>
              <v:shadow on="t" color="#A0A0A4" offset="0pt,0pt" origin="0f,0f" matrix="65536f,0f,0f,65536f"/>
              <v:textbox inset="0mm,0mm,0mm,0mm"/>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62336" behindDoc="1" locked="0" layoutInCell="1" allowOverlap="1">
              <wp:simplePos x="0" y="0"/>
              <wp:positionH relativeFrom="page">
                <wp:posOffset>359410</wp:posOffset>
              </wp:positionH>
              <wp:positionV relativeFrom="page">
                <wp:posOffset>179705</wp:posOffset>
              </wp:positionV>
              <wp:extent cx="14399895" cy="132715"/>
              <wp:effectExtent l="0" t="0" r="0" b="0"/>
              <wp:wrapNone/>
              <wp:docPr id="4" name="文本框 5"/>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5" o:spid="_x0000_s1026" o:spt="202" type="#_x0000_t202" style="position:absolute;left:0pt;margin-left:28.3pt;margin-top:14.15pt;height:10.45pt;width:1133.85pt;mso-position-horizontal-relative:page;mso-position-vertical-relative:page;z-index:-251654144;mso-width-relative:page;mso-height-relative:page;" filled="f" stroked="f" coordsize="21600,21600" o:gfxdata="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o09zPXAAAACQEAAA8AAAAAAAAAAQAgAAAA&#10;IgAAAGRycy9kb3ducmV2LnhtbFBLAQIUABQAAAAIAIdO4kAMUWaaDAIAAAYEAAAOAAAAAAAAAAEA&#10;IAAAACYBAABkcnMvZTJvRG9jLnhtbFBLBQYAAAAABgAGAFkBAACkBQAAAAA=&#10;">
              <v:fill on="f" focussize="0,0"/>
              <v:stroke on="f"/>
              <v:imagedata o:title=""/>
              <o:lock v:ext="edit" aspectratio="f"/>
              <v:shadow on="t" color="#A0A0A4" offset="0pt,0pt" origin="0f,0f" matrix="65536f,0f,0f,65536f"/>
              <v:textbox inset="0mm,0mm,0mm,0mm"/>
            </v:shape>
          </w:pict>
        </mc:Fallback>
      </mc:AlternateContent>
    </w:r>
    <w:r>
      <mc:AlternateContent>
        <mc:Choice Requires="wps">
          <w:drawing>
            <wp:anchor distT="0" distB="0" distL="0" distR="0" simplePos="0" relativeHeight="251663360" behindDoc="1" locked="0" layoutInCell="1" allowOverlap="1">
              <wp:simplePos x="0" y="0"/>
              <wp:positionH relativeFrom="page">
                <wp:posOffset>359410</wp:posOffset>
              </wp:positionH>
              <wp:positionV relativeFrom="page">
                <wp:posOffset>179705</wp:posOffset>
              </wp:positionV>
              <wp:extent cx="14389100" cy="179705"/>
              <wp:effectExtent l="0" t="0" r="0" b="0"/>
              <wp:wrapNone/>
              <wp:docPr id="5" name="文本框 6"/>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pPr>
                            <w:widowControl w:val="0"/>
                            <w:snapToGrid w:val="0"/>
                            <w:spacing w:before="0" w:after="0" w:line="300" w:lineRule="atLeast"/>
                            <w:ind w:left="0" w:right="0" w:firstLine="0"/>
                            <w:jc w:val="both"/>
                            <w:textAlignment w:val="baseline"/>
                          </w:pPr>
                        </w:p>
                        <w:p>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6" o:spid="_x0000_s1026" o:spt="202" type="#_x0000_t202" style="position:absolute;left:0pt;margin-left:28.3pt;margin-top:14.15pt;height:14.15pt;width:1133pt;mso-position-horizontal-relative:page;mso-position-vertical-relative:page;z-index:-251653120;mso-width-relative:page;mso-height-relative:page;" filled="f" stroked="f" coordsize="21600,21600" o:gfxdata="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de1y1QAAAAkBAAAPAAAA&#10;AAAAAAEAIAAAACIAAABkcnMvZG93bnJldi54bWxQSwECFAAUAAAACACHTuJAKe/kFxgCAAAdBAAA&#10;DgAAAAAAAAABACAAAAAkAQAAZHJzL2Uyb0RvYy54bWxQSwUGAAAAAAYABgBZAQAArgUAAAAA&#10;">
              <v:fill on="f" focussize="0,0"/>
              <v:stroke on="f"/>
              <v:imagedata o:title=""/>
              <o:lock v:ext="edit" aspectratio="f"/>
              <v:shadow on="t" color="#A0A0A4" offset="0pt,0pt" origin="0f,0f" matrix="65536f,0f,0f,65536f"/>
              <v:textbox inset="2.83456692913386pt,0mm,2.83456692913386pt,1.41724409448819pt">
                <w:txbxContent>
                  <w:p>
                    <w:pPr>
                      <w:widowControl w:val="0"/>
                      <w:snapToGrid w:val="0"/>
                      <w:spacing w:before="0" w:after="0" w:line="300" w:lineRule="atLeast"/>
                      <w:ind w:left="0" w:right="0" w:firstLine="0"/>
                      <w:jc w:val="both"/>
                      <w:textAlignment w:val="baseline"/>
                    </w:pPr>
                  </w:p>
                  <w:p>
                    <w:pPr>
                      <w:widowControl w:val="0"/>
                      <w:snapToGrid w:val="0"/>
                      <w:spacing w:before="0" w:after="0" w:line="328" w:lineRule="atLeast"/>
                      <w:ind w:left="0" w:right="0" w:firstLine="0"/>
                      <w:jc w:val="both"/>
                      <w:textAlignment w:val="baseline"/>
                    </w:pPr>
                  </w:p>
                </w:txbxContent>
              </v:textbox>
            </v:shape>
          </w:pict>
        </mc:Fallback>
      </mc:AlternateContent>
    </w:r>
    <w:r>
      <mc:AlternateContent>
        <mc:Choice Requires="wps">
          <w:drawing>
            <wp:anchor distT="0" distB="0" distL="0" distR="0" simplePos="0" relativeHeight="251664384" behindDoc="1" locked="0" layoutInCell="1" allowOverlap="1">
              <wp:simplePos x="0" y="0"/>
              <wp:positionH relativeFrom="page">
                <wp:posOffset>359410</wp:posOffset>
              </wp:positionH>
              <wp:positionV relativeFrom="page">
                <wp:posOffset>10378440</wp:posOffset>
              </wp:positionV>
              <wp:extent cx="14389100" cy="179705"/>
              <wp:effectExtent l="0" t="0" r="0" b="0"/>
              <wp:wrapNone/>
              <wp:docPr id="6" name="文本框 7"/>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pPr>
                            <w:widowControl w:val="0"/>
                            <w:snapToGrid w:val="0"/>
                            <w:spacing w:before="0" w:after="0" w:line="300" w:lineRule="atLeast"/>
                            <w:ind w:left="0" w:right="0" w:firstLine="0"/>
                            <w:jc w:val="center"/>
                            <w:textAlignment w:val="baseline"/>
                          </w:pPr>
                        </w:p>
                        <w:p>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7" o:spid="_x0000_s1026" o:spt="202" type="#_x0000_t202" style="position:absolute;left:0pt;margin-left:28.3pt;margin-top:817.2pt;height:14.15pt;width:1133pt;mso-position-horizontal-relative:page;mso-position-vertical-relative:page;z-index:-251652096;mso-width-relative:page;mso-height-relative:page;" filled="f" stroked="f" coordsize="21600,21600" o:gfxdata="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BhgPdoAAAANAQAA&#10;DwAAAAAAAAABACAAAAAiAAAAZHJzL2Rvd25yZXYueG1sUEsBAhQAFAAAAAgAh07iQEcOM7IXAgAA&#10;HQQAAA4AAAAAAAAAAQAgAAAAKQEAAGRycy9lMm9Eb2MueG1sUEsFBgAAAAAGAAYAWQEAALIFAAAA&#10;AA==&#10;">
              <v:fill on="f" focussize="0,0"/>
              <v:stroke on="f"/>
              <v:imagedata o:title=""/>
              <o:lock v:ext="edit" aspectratio="f"/>
              <v:shadow on="t" color="#A0A0A4" offset="0pt,0pt" origin="0f,0f" matrix="65536f,0f,0f,65536f"/>
              <v:textbox inset="2.83456692913386pt,0mm,2.83456692913386pt,1.41724409448819pt">
                <w:txbxContent>
                  <w:p>
                    <w:pPr>
                      <w:widowControl w:val="0"/>
                      <w:snapToGrid w:val="0"/>
                      <w:spacing w:before="0" w:after="0" w:line="300" w:lineRule="atLeast"/>
                      <w:ind w:left="0" w:right="0" w:firstLine="0"/>
                      <w:jc w:val="center"/>
                      <w:textAlignment w:val="baseline"/>
                    </w:pPr>
                  </w:p>
                  <w:p>
                    <w:pPr>
                      <w:widowControl w:val="0"/>
                      <w:snapToGrid w:val="0"/>
                      <w:spacing w:before="0" w:after="0" w:line="328" w:lineRule="atLeast"/>
                      <w:ind w:left="0" w:right="0" w:firstLine="0"/>
                      <w:jc w:val="both"/>
                      <w:textAlignment w:val="baseline"/>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59264" behindDoc="1" locked="0" layoutInCell="1" allowOverlap="1">
              <wp:simplePos x="0" y="0"/>
              <wp:positionH relativeFrom="page">
                <wp:posOffset>359410</wp:posOffset>
              </wp:positionH>
              <wp:positionV relativeFrom="page">
                <wp:posOffset>179705</wp:posOffset>
              </wp:positionV>
              <wp:extent cx="14399895" cy="13271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2" o:spid="_x0000_s1026" o:spt="202" type="#_x0000_t202" style="position:absolute;left:0pt;margin-left:28.3pt;margin-top:14.15pt;height:10.45pt;width:1133.85pt;mso-position-horizontal-relative:page;mso-position-vertical-relative:page;z-index:-251657216;mso-width-relative:page;mso-height-relative:page;" filled="f" stroked="f" coordsize="21600,21600" o:gfxdata="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jT3M9cAAAAJAQAADwAAAAAAAAABACAAAAAi&#10;AAAAZHJzL2Rvd25yZXYueG1sUEsBAhQAFAAAAAgAh07iQPN4wI4LAgAABgQAAA4AAAAAAAAAAQAg&#10;AAAAJgEAAGRycy9lMm9Eb2MueG1sUEsFBgAAAAAGAAYAWQEAAKMFAAAAAA==&#10;">
              <v:fill on="f" focussize="0,0"/>
              <v:stroke on="f"/>
              <v:imagedata o:title=""/>
              <o:lock v:ext="edit" aspectratio="f"/>
              <v:shadow on="t" color="#A0A0A4" offset="0pt,0pt" origin="0f,0f" matrix="65536f,0f,0f,65536f"/>
              <v:textbox inset="0mm,0mm,0mm,0mm"/>
            </v:shape>
          </w:pict>
        </mc:Fallback>
      </mc:AlternateContent>
    </w:r>
    <w:r>
      <mc:AlternateContent>
        <mc:Choice Requires="wps">
          <w:drawing>
            <wp:anchor distT="0" distB="0" distL="0" distR="0" simplePos="0" relativeHeight="251660288" behindDoc="1" locked="0" layoutInCell="1" allowOverlap="1">
              <wp:simplePos x="0" y="0"/>
              <wp:positionH relativeFrom="page">
                <wp:posOffset>359410</wp:posOffset>
              </wp:positionH>
              <wp:positionV relativeFrom="page">
                <wp:posOffset>179705</wp:posOffset>
              </wp:positionV>
              <wp:extent cx="14389100" cy="17970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pPr>
                            <w:widowControl w:val="0"/>
                            <w:snapToGrid w:val="0"/>
                            <w:spacing w:before="0" w:after="0" w:line="300" w:lineRule="atLeast"/>
                            <w:ind w:left="0" w:right="0" w:firstLine="0"/>
                            <w:jc w:val="both"/>
                            <w:textAlignment w:val="baseline"/>
                          </w:pPr>
                        </w:p>
                        <w:p>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3" o:spid="_x0000_s1026" o:spt="202" type="#_x0000_t202" style="position:absolute;left:0pt;margin-left:28.3pt;margin-top:14.15pt;height:14.15pt;width:1133pt;mso-position-horizontal-relative:page;mso-position-vertical-relative:page;z-index:-251656192;mso-width-relative:page;mso-height-relative:page;" filled="f" stroked="f" coordsize="21600,21600" o:gfxdata="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de1y1QAAAAkBAAAPAAAA&#10;AAAAAAEAIAAAACIAAABkcnMvZG93bnJldi54bWxQSwECFAAUAAAACACHTuJAuCgZAhgCAAAdBAAA&#10;DgAAAAAAAAABACAAAAAkAQAAZHJzL2Uyb0RvYy54bWxQSwUGAAAAAAYABgBZAQAArgUAAAAA&#10;">
              <v:fill on="f" focussize="0,0"/>
              <v:stroke on="f"/>
              <v:imagedata o:title=""/>
              <o:lock v:ext="edit" aspectratio="f"/>
              <v:shadow on="t" color="#A0A0A4" offset="0pt,0pt" origin="0f,0f" matrix="65536f,0f,0f,65536f"/>
              <v:textbox inset="2.83456692913386pt,0mm,2.83456692913386pt,1.41724409448819pt">
                <w:txbxContent>
                  <w:p>
                    <w:pPr>
                      <w:widowControl w:val="0"/>
                      <w:snapToGrid w:val="0"/>
                      <w:spacing w:before="0" w:after="0" w:line="300" w:lineRule="atLeast"/>
                      <w:ind w:left="0" w:right="0" w:firstLine="0"/>
                      <w:jc w:val="both"/>
                      <w:textAlignment w:val="baseline"/>
                    </w:pPr>
                  </w:p>
                  <w:p>
                    <w:pPr>
                      <w:widowControl w:val="0"/>
                      <w:snapToGrid w:val="0"/>
                      <w:spacing w:before="0" w:after="0" w:line="328" w:lineRule="atLeast"/>
                      <w:ind w:left="0" w:right="0" w:firstLine="0"/>
                      <w:jc w:val="both"/>
                      <w:textAlignment w:val="baseline"/>
                    </w:pP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359410</wp:posOffset>
              </wp:positionH>
              <wp:positionV relativeFrom="page">
                <wp:posOffset>10378440</wp:posOffset>
              </wp:positionV>
              <wp:extent cx="14389100" cy="17970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pPr>
                            <w:widowControl w:val="0"/>
                            <w:snapToGrid w:val="0"/>
                            <w:spacing w:before="0" w:after="0" w:line="300" w:lineRule="atLeast"/>
                            <w:ind w:left="0" w:right="0" w:firstLine="0"/>
                            <w:jc w:val="center"/>
                            <w:textAlignment w:val="baseline"/>
                          </w:pPr>
                        </w:p>
                        <w:p>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4" o:spid="_x0000_s1026" o:spt="202" type="#_x0000_t202" style="position:absolute;left:0pt;margin-left:28.3pt;margin-top:817.2pt;height:14.15pt;width:1133pt;mso-position-horizontal-relative:page;mso-position-vertical-relative:page;z-index:-251655168;mso-width-relative:page;mso-height-relative:page;" filled="f" stroked="f" coordsize="21600,21600" o:gfxdata="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AYYD3aAAAADQEA&#10;AA8AAAAAAAAAAQAgAAAAIgAAAGRycy9kb3ducmV2LnhtbFBLAQIUABQAAAAIAIdO4kC0KzqHGAIA&#10;AB0EAAAOAAAAAAAAAAEAIAAAACkBAABkcnMvZTJvRG9jLnhtbFBLBQYAAAAABgAGAFkBAACzBQAA&#10;AAA=&#10;">
              <v:fill on="f" focussize="0,0"/>
              <v:stroke on="f"/>
              <v:imagedata o:title=""/>
              <o:lock v:ext="edit" aspectratio="f"/>
              <v:shadow on="t" color="#A0A0A4" offset="0pt,0pt" origin="0f,0f" matrix="65536f,0f,0f,65536f"/>
              <v:textbox inset="2.83456692913386pt,0mm,2.83456692913386pt,1.41724409448819pt">
                <w:txbxContent>
                  <w:p>
                    <w:pPr>
                      <w:widowControl w:val="0"/>
                      <w:snapToGrid w:val="0"/>
                      <w:spacing w:before="0" w:after="0" w:line="300" w:lineRule="atLeast"/>
                      <w:ind w:left="0" w:right="0" w:firstLine="0"/>
                      <w:jc w:val="center"/>
                      <w:textAlignment w:val="baseline"/>
                    </w:pPr>
                  </w:p>
                  <w:p>
                    <w:pPr>
                      <w:widowControl w:val="0"/>
                      <w:snapToGrid w:val="0"/>
                      <w:spacing w:before="0" w:after="0" w:line="328" w:lineRule="atLeast"/>
                      <w:ind w:left="0" w:right="0" w:firstLine="0"/>
                      <w:jc w:val="both"/>
                      <w:textAlignment w:val="baseline"/>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DB9AA"/>
    <w:multiLevelType w:val="singleLevel"/>
    <w:tmpl w:val="161DB9AA"/>
    <w:lvl w:ilvl="0" w:tentative="0">
      <w:start w:val="1"/>
      <w:numFmt w:val="chineseCounting"/>
      <w:suff w:val="nothing"/>
      <w:lvlText w:val="（%1）"/>
      <w:lvlJc w:val="left"/>
      <w:pPr>
        <w:ind w:left="31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isplayHorizontalDrawingGridEvery w:val="1"/>
  <w:displayVerticalDrawingGridEvery w:val="1"/>
  <w:characterSpacingControl w:val="doNotCompress"/>
  <w:hdr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D66EF"/>
    <w:rsid w:val="01A9626A"/>
    <w:rsid w:val="030740E7"/>
    <w:rsid w:val="05145ADC"/>
    <w:rsid w:val="05291B24"/>
    <w:rsid w:val="063A31FE"/>
    <w:rsid w:val="088524CD"/>
    <w:rsid w:val="092C16B7"/>
    <w:rsid w:val="0947154D"/>
    <w:rsid w:val="0A782150"/>
    <w:rsid w:val="0CA851E5"/>
    <w:rsid w:val="0E202080"/>
    <w:rsid w:val="0E5957AD"/>
    <w:rsid w:val="0F595D93"/>
    <w:rsid w:val="12095D78"/>
    <w:rsid w:val="12E57628"/>
    <w:rsid w:val="134A2C17"/>
    <w:rsid w:val="16796B7A"/>
    <w:rsid w:val="17171612"/>
    <w:rsid w:val="176612B1"/>
    <w:rsid w:val="1834640C"/>
    <w:rsid w:val="1879095B"/>
    <w:rsid w:val="1A363D80"/>
    <w:rsid w:val="1AC90996"/>
    <w:rsid w:val="1D40658B"/>
    <w:rsid w:val="1DDD31BF"/>
    <w:rsid w:val="1EA872B6"/>
    <w:rsid w:val="20017FB1"/>
    <w:rsid w:val="21AA1FE8"/>
    <w:rsid w:val="233319DF"/>
    <w:rsid w:val="26EE01F6"/>
    <w:rsid w:val="2A4B21B4"/>
    <w:rsid w:val="2CAB07CF"/>
    <w:rsid w:val="2E3C45F7"/>
    <w:rsid w:val="2F125679"/>
    <w:rsid w:val="30105B83"/>
    <w:rsid w:val="30923945"/>
    <w:rsid w:val="32E7159B"/>
    <w:rsid w:val="331F16BF"/>
    <w:rsid w:val="33A73DE7"/>
    <w:rsid w:val="35E52ACA"/>
    <w:rsid w:val="36987477"/>
    <w:rsid w:val="3AB42654"/>
    <w:rsid w:val="3D230606"/>
    <w:rsid w:val="3D95543D"/>
    <w:rsid w:val="3DEB206F"/>
    <w:rsid w:val="4122014D"/>
    <w:rsid w:val="41E77480"/>
    <w:rsid w:val="433B6C22"/>
    <w:rsid w:val="436804BC"/>
    <w:rsid w:val="437E77E0"/>
    <w:rsid w:val="46F4770B"/>
    <w:rsid w:val="47E262FE"/>
    <w:rsid w:val="4B125B50"/>
    <w:rsid w:val="4B9B37A9"/>
    <w:rsid w:val="4CEB6639"/>
    <w:rsid w:val="4CF41E46"/>
    <w:rsid w:val="4DDF6BC4"/>
    <w:rsid w:val="4E2E1152"/>
    <w:rsid w:val="4F3102E3"/>
    <w:rsid w:val="4F5670C2"/>
    <w:rsid w:val="514E556D"/>
    <w:rsid w:val="529203F6"/>
    <w:rsid w:val="54D54865"/>
    <w:rsid w:val="55296914"/>
    <w:rsid w:val="55C7171A"/>
    <w:rsid w:val="55E71250"/>
    <w:rsid w:val="56A00027"/>
    <w:rsid w:val="56D0237A"/>
    <w:rsid w:val="574909BC"/>
    <w:rsid w:val="582538C7"/>
    <w:rsid w:val="58883EB0"/>
    <w:rsid w:val="58F34DA9"/>
    <w:rsid w:val="5B0B2921"/>
    <w:rsid w:val="5CDD34ED"/>
    <w:rsid w:val="5FA62FB7"/>
    <w:rsid w:val="5FEC7E3D"/>
    <w:rsid w:val="609760D9"/>
    <w:rsid w:val="60C42E38"/>
    <w:rsid w:val="62D913F6"/>
    <w:rsid w:val="63BF764C"/>
    <w:rsid w:val="63C01EF6"/>
    <w:rsid w:val="65756EB2"/>
    <w:rsid w:val="67B01D5F"/>
    <w:rsid w:val="68820F72"/>
    <w:rsid w:val="69D72CCF"/>
    <w:rsid w:val="6C4B0D8E"/>
    <w:rsid w:val="6CDD6ED3"/>
    <w:rsid w:val="6CF611BA"/>
    <w:rsid w:val="6E905BC8"/>
    <w:rsid w:val="6EE15E69"/>
    <w:rsid w:val="70E56342"/>
    <w:rsid w:val="70EE754A"/>
    <w:rsid w:val="71035E1E"/>
    <w:rsid w:val="71C325DF"/>
    <w:rsid w:val="71EA2B13"/>
    <w:rsid w:val="71EE4F73"/>
    <w:rsid w:val="73ED549D"/>
    <w:rsid w:val="75D2299C"/>
    <w:rsid w:val="76A66428"/>
    <w:rsid w:val="779D1F3E"/>
    <w:rsid w:val="7C0D1F8B"/>
    <w:rsid w:val="7D4532B4"/>
    <w:rsid w:val="7F4329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723"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before="0" w:after="0" w:line="578" w:lineRule="atLeast"/>
      <w:ind w:left="0" w:right="0" w:firstLine="0"/>
      <w:jc w:val="both"/>
      <w:textAlignment w:val="baseline"/>
    </w:pPr>
    <w:rPr>
      <w:rFonts w:ascii="Times New Roman" w:eastAsia="宋体"/>
      <w:color w:val="000000"/>
      <w:spacing w:val="0"/>
      <w:w w:val="100"/>
      <w:sz w:val="21"/>
      <w:u w:val="none" w:color="000000"/>
      <w:vertAlign w:val="baseline"/>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uiPriority w:val="1723"/>
  </w:style>
  <w:style w:type="table" w:default="1" w:styleId="4">
    <w:name w:val="Normal Table"/>
    <w:semiHidden/>
    <w:uiPriority w:val="0"/>
    <w:tblPr>
      <w:tblStyle w:val="4"/>
      <w:tblCellMar>
        <w:top w:w="0" w:type="dxa"/>
        <w:left w:w="108" w:type="dxa"/>
        <w:bottom w:w="0" w:type="dxa"/>
        <w:right w:w="108" w:type="dxa"/>
      </w:tblCellMar>
    </w:tblPr>
  </w:style>
  <w:style w:type="character" w:customStyle="1" w:styleId="6">
    <w:name w:val="链接"/>
    <w:basedOn w:val="5"/>
    <w:uiPriority w:val="0"/>
    <w:rPr>
      <w:rFonts w:ascii="Times New Roman" w:eastAsia="宋体"/>
      <w:color w:val="0000FF"/>
      <w:sz w:val="21"/>
      <w:u w:val="single" w:color="0000FF"/>
      <w:vertAlign w:val="baseline"/>
      <w:lang w:val="en-US" w:eastAsia="zh-CN"/>
    </w:rPr>
  </w:style>
  <w:style w:type="character" w:customStyle="1" w:styleId="7">
    <w:name w:val="默认段落字体1"/>
    <w:uiPriority w:val="1723"/>
    <w:rPr>
      <w:rFonts w:ascii="Times New Roman" w:eastAsia="宋体"/>
      <w:color w:val="000000"/>
      <w:spacing w:val="0"/>
      <w:w w:val="100"/>
      <w:sz w:val="21"/>
      <w:u w:val="none" w:color="000000"/>
      <w:vertAlign w:val="baseline"/>
      <w:lang w:val="en-US" w:eastAsia="zh-CN"/>
    </w:rPr>
  </w:style>
  <w:style w:type="paragraph" w:customStyle="1" w:styleId="8">
    <w:name w:val="目录2"/>
    <w:basedOn w:val="1"/>
    <w:next w:val="1"/>
    <w:uiPriority w:val="3"/>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9">
    <w:name w:val="目录 41"/>
    <w:basedOn w:val="1"/>
    <w:next w:val="1"/>
    <w:uiPriority w:val="2"/>
    <w:pPr>
      <w:spacing w:line="476"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0">
    <w:name w:val="节标题"/>
    <w:basedOn w:val="1"/>
    <w:next w:val="11"/>
    <w:uiPriority w:val="2441"/>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11">
    <w:name w:val="小节标题"/>
    <w:basedOn w:val="1"/>
    <w:next w:val="1"/>
    <w:uiPriority w:val="1664"/>
    <w:pPr>
      <w:spacing w:before="175" w:after="102"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2">
    <w:name w:val="目录标题"/>
    <w:basedOn w:val="1"/>
    <w:next w:val="1"/>
    <w:uiPriority w:val="1664"/>
    <w:pPr>
      <w:spacing w:before="0" w:after="0" w:line="453" w:lineRule="atLeast"/>
      <w:ind w:firstLine="419"/>
      <w:jc w:val="center"/>
      <w:textAlignment w:val="baseline"/>
    </w:pPr>
    <w:rPr>
      <w:rFonts w:ascii="Arial" w:eastAsia="黑体"/>
      <w:color w:val="000000"/>
      <w:spacing w:val="51"/>
      <w:sz w:val="44"/>
      <w:u w:val="none" w:color="000000"/>
      <w:vertAlign w:val="baseline"/>
      <w:lang w:val="en-US" w:eastAsia="zh-CN"/>
    </w:rPr>
  </w:style>
  <w:style w:type="paragraph" w:customStyle="1" w:styleId="13">
    <w:name w:val="目录 31"/>
    <w:basedOn w:val="1"/>
    <w:next w:val="1"/>
    <w:uiPriority w:val="2"/>
    <w:pPr>
      <w:spacing w:line="476"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4">
    <w:name w:val="标题 11"/>
    <w:basedOn w:val="1"/>
    <w:uiPriority w:val="2"/>
    <w:pPr>
      <w:spacing w:before="0" w:after="0"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15">
    <w:name w:val="目录1"/>
    <w:basedOn w:val="1"/>
    <w:next w:val="1"/>
    <w:uiPriority w:val="3"/>
    <w:pPr>
      <w:tabs>
        <w:tab w:val="left" w:leader="dot" w:pos="8503"/>
      </w:tabs>
      <w:spacing w:after="102"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16">
    <w:name w:val="目录4"/>
    <w:basedOn w:val="1"/>
    <w:next w:val="1"/>
    <w:uiPriority w:val="3"/>
    <w:pPr>
      <w:tabs>
        <w:tab w:val="left" w:leader="dot" w:pos="8503"/>
      </w:tabs>
      <w:spacing w:line="317"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7">
    <w:name w:val="标题1"/>
    <w:basedOn w:val="1"/>
    <w:uiPriority w:val="0"/>
    <w:pPr>
      <w:spacing w:before="0" w:after="0" w:line="538" w:lineRule="atLeast"/>
      <w:ind w:firstLine="0"/>
      <w:jc w:val="center"/>
      <w:textAlignment w:val="baseline"/>
    </w:pPr>
    <w:rPr>
      <w:rFonts w:ascii="Arial" w:eastAsia="黑体"/>
      <w:color w:val="000000"/>
      <w:sz w:val="52"/>
      <w:u w:val="none" w:color="000000"/>
      <w:vertAlign w:val="baseline"/>
      <w:lang w:val="en-US" w:eastAsia="zh-CN"/>
    </w:rPr>
  </w:style>
  <w:style w:type="paragraph" w:customStyle="1" w:styleId="18">
    <w:name w:val="标题 31"/>
    <w:basedOn w:val="1"/>
    <w:next w:val="1"/>
    <w:uiPriority w:val="2"/>
    <w:pPr>
      <w:spacing w:before="0" w:after="0"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9">
    <w:name w:val="目录3"/>
    <w:basedOn w:val="1"/>
    <w:next w:val="1"/>
    <w:uiPriority w:val="3"/>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20">
    <w:name w:val="目录 11"/>
    <w:basedOn w:val="1"/>
    <w:next w:val="1"/>
    <w:uiPriority w:val="2"/>
    <w:pPr>
      <w:spacing w:after="0"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21">
    <w:name w:val="章标题"/>
    <w:basedOn w:val="1"/>
    <w:next w:val="10"/>
    <w:uiPriority w:val="2441"/>
    <w:pPr>
      <w:spacing w:before="158" w:after="153"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22">
    <w:name w:val="普通表格1"/>
    <w:uiPriority w:val="2182"/>
    <w:pPr>
      <w:spacing w:line="351" w:lineRule="atLeast"/>
      <w:ind w:firstLine="419"/>
      <w:jc w:val="both"/>
      <w:textAlignment w:val="baseline"/>
    </w:pPr>
    <w:rPr>
      <w:rFonts w:ascii="Times New Roman" w:eastAsia="宋体"/>
      <w:color w:val="000000"/>
      <w:sz w:val="21"/>
      <w:u w:val="none" w:color="000000"/>
      <w:vertAlign w:val="baseline"/>
      <w:lang w:val="en-US" w:eastAsia="zh-CN"/>
    </w:rPr>
  </w:style>
  <w:style w:type="paragraph" w:customStyle="1" w:styleId="23">
    <w:name w:val="文章总标题"/>
    <w:basedOn w:val="1"/>
    <w:next w:val="24"/>
    <w:uiPriority w:val="1539"/>
    <w:pPr>
      <w:spacing w:before="566" w:after="544" w:line="566" w:lineRule="atLeast"/>
      <w:ind w:firstLine="0"/>
      <w:jc w:val="center"/>
      <w:textAlignment w:val="baseline"/>
    </w:pPr>
    <w:rPr>
      <w:rFonts w:ascii="Arial" w:eastAsia="黑体"/>
      <w:color w:val="000000"/>
      <w:sz w:val="54"/>
      <w:u w:val="none" w:color="000000"/>
      <w:vertAlign w:val="baseline"/>
      <w:lang w:val="en-US" w:eastAsia="zh-CN"/>
    </w:rPr>
  </w:style>
  <w:style w:type="paragraph" w:customStyle="1" w:styleId="24">
    <w:name w:val="文章副标题"/>
    <w:basedOn w:val="1"/>
    <w:next w:val="21"/>
    <w:uiPriority w:val="1318"/>
    <w:pPr>
      <w:spacing w:before="0" w:after="0" w:line="374" w:lineRule="atLeast"/>
      <w:ind w:firstLine="0"/>
      <w:jc w:val="center"/>
      <w:textAlignment w:val="baseline"/>
    </w:pPr>
    <w:rPr>
      <w:rFonts w:ascii="Times New Roman" w:eastAsia="宋体"/>
      <w:color w:val="000000"/>
      <w:sz w:val="36"/>
      <w:u w:val="none" w:color="000000"/>
      <w:vertAlign w:val="baseline"/>
      <w:lang w:val="en-US" w:eastAsia="zh-CN"/>
    </w:rPr>
  </w:style>
  <w:style w:type="paragraph" w:customStyle="1" w:styleId="25">
    <w:name w:val="目录 21"/>
    <w:basedOn w:val="1"/>
    <w:next w:val="1"/>
    <w:uiPriority w:val="2"/>
    <w:pPr>
      <w:spacing w:line="476"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26">
    <w:name w:val="标题 21"/>
    <w:basedOn w:val="1"/>
    <w:uiPriority w:val="2"/>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27">
    <w:name w:val="WPS Plain"/>
    <w:uiPriority w:val="5"/>
    <w:pPr>
      <w:spacing w:before="0" w:after="0" w:line="425" w:lineRule="atLeast"/>
      <w:ind w:left="0" w:right="0" w:firstLine="0"/>
      <w:jc w:val="both"/>
      <w:textAlignment w:val="baseline"/>
    </w:pPr>
    <w:rPr>
      <w:rFonts w:ascii="Times New Roman" w:eastAsia="宋体"/>
      <w:color w:val="000000"/>
      <w:spacing w:val="0"/>
      <w:w w:val="100"/>
      <w:sz w:val="21"/>
      <w:u w:val="none" w:color="000000"/>
      <w:vertAlign w:val="baseline"/>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2018-03-23T02:14:09Z</dcterms:created>
  <dc:creator>Administrator</dc:creator>
  <cp:lastModifiedBy>家有大儿桐</cp:lastModifiedBy>
  <cp:lastPrinted>2018-06-01T06:19:30Z</cp:lastPrinted>
  <dcterms:modified xsi:type="dcterms:W3CDTF">2021-11-18T01:38:23Z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D5C7467D69A744768EF0B1196B44DFBE</vt:lpwstr>
  </property>
</Properties>
</file>