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Style w:val="7"/>
          <w:rFonts w:hint="eastAsia" w:ascii="黑体" w:hAnsi="黑体" w:eastAsia="黑体" w:cs="黑体"/>
          <w:b w:val="0"/>
          <w:bCs/>
          <w:color w:val="333333"/>
          <w:sz w:val="44"/>
          <w:szCs w:val="44"/>
          <w:shd w:val="clear" w:color="auto" w:fill="FFFFFF"/>
        </w:rPr>
      </w:pPr>
    </w:p>
    <w:p>
      <w:pPr>
        <w:pStyle w:val="4"/>
        <w:widowControl/>
        <w:shd w:val="clear" w:color="auto" w:fill="FFFFFF"/>
        <w:spacing w:beforeAutospacing="0" w:afterAutospacing="0" w:line="640" w:lineRule="exact"/>
        <w:ind w:firstLine="442" w:firstLineChars="100"/>
        <w:jc w:val="center"/>
        <w:rPr>
          <w:rStyle w:val="7"/>
          <w:rFonts w:ascii="黑体" w:hAnsi="黑体" w:eastAsia="黑体" w:cs="黑体"/>
          <w:b w:val="0"/>
          <w:bCs/>
          <w:color w:val="333333"/>
          <w:sz w:val="44"/>
          <w:szCs w:val="44"/>
          <w:shd w:val="clear" w:color="auto" w:fill="FFFFFF"/>
        </w:rPr>
      </w:pPr>
      <w:r>
        <w:rPr>
          <w:rFonts w:hint="eastAsia" w:ascii="黑体" w:hAnsi="黑体" w:eastAsia="黑体" w:cs="黑体"/>
          <w:b/>
          <w:color w:val="333333"/>
          <w:kern w:val="0"/>
          <w:sz w:val="44"/>
          <w:szCs w:val="44"/>
          <w:shd w:val="clear" w:color="auto" w:fill="FFFFFF"/>
          <w:lang w:eastAsia="zh-CN" w:bidi="ar"/>
        </w:rPr>
        <w:t>双辽市商务</w:t>
      </w:r>
      <w:r>
        <w:rPr>
          <w:rFonts w:hint="eastAsia" w:ascii="黑体" w:hAnsi="黑体" w:eastAsia="黑体" w:cs="黑体"/>
          <w:b/>
          <w:color w:val="333333"/>
          <w:kern w:val="0"/>
          <w:sz w:val="44"/>
          <w:szCs w:val="44"/>
          <w:shd w:val="clear" w:color="auto" w:fill="FFFFFF"/>
          <w:lang w:bidi="ar"/>
        </w:rPr>
        <w:t>局</w:t>
      </w:r>
      <w:bookmarkStart w:id="0" w:name="_GoBack"/>
      <w:bookmarkEnd w:id="0"/>
    </w:p>
    <w:p>
      <w:pPr>
        <w:pStyle w:val="4"/>
        <w:widowControl/>
        <w:shd w:val="clear" w:color="auto" w:fill="FFFFFF"/>
        <w:spacing w:beforeAutospacing="0" w:afterAutospacing="0" w:line="640" w:lineRule="exact"/>
        <w:ind w:firstLine="440" w:firstLineChars="100"/>
        <w:jc w:val="center"/>
        <w:rPr>
          <w:rStyle w:val="7"/>
          <w:rFonts w:ascii="黑体" w:hAnsi="黑体" w:eastAsia="黑体" w:cs="黑体"/>
          <w:b w:val="0"/>
          <w:bCs/>
          <w:color w:val="333333"/>
          <w:sz w:val="44"/>
          <w:szCs w:val="44"/>
          <w:shd w:val="clear" w:color="auto" w:fill="FFFFFF"/>
        </w:rPr>
      </w:pPr>
      <w:r>
        <w:rPr>
          <w:rStyle w:val="7"/>
          <w:rFonts w:hint="eastAsia" w:ascii="黑体" w:hAnsi="黑体" w:eastAsia="黑体" w:cs="黑体"/>
          <w:b w:val="0"/>
          <w:bCs/>
          <w:color w:val="333333"/>
          <w:sz w:val="44"/>
          <w:szCs w:val="44"/>
          <w:shd w:val="clear" w:color="auto" w:fill="FFFFFF"/>
        </w:rPr>
        <w:t>重大行政执法决定法制审核办法</w:t>
      </w:r>
    </w:p>
    <w:p>
      <w:pPr>
        <w:pStyle w:val="4"/>
        <w:widowControl/>
        <w:shd w:val="clear" w:color="auto" w:fill="FFFFFF"/>
        <w:spacing w:beforeAutospacing="0" w:afterAutospacing="0" w:line="640" w:lineRule="exact"/>
        <w:ind w:firstLine="440" w:firstLineChars="100"/>
        <w:jc w:val="both"/>
        <w:rPr>
          <w:rStyle w:val="7"/>
          <w:rFonts w:ascii="黑体" w:hAnsi="黑体" w:eastAsia="黑体" w:cs="黑体"/>
          <w:b w:val="0"/>
          <w:bCs/>
          <w:color w:val="333333"/>
          <w:sz w:val="44"/>
          <w:szCs w:val="44"/>
          <w:shd w:val="clear" w:color="auto" w:fill="FFFFFF"/>
        </w:rPr>
      </w:pP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第二条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受委托组织在委托范围内作出重大行政执法决定前，由委托机关的法制机构进行审核。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第三条 司法行政机关负责重大执法决定法制审核工作的监督检查和业务指导。</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第四条 行政执法机关作出行政许可、行政处罚、行政强制、行政征收等行政执法决定，具有下列情形之一的，应当在作出决定前进行法制审核: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(一)涉及重大国家利益和公共利益的事项，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(二)可能造成重大社会影响或引发社会风险的;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(三)直接关系行政管理相对人或他人重大权益的;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(四)需经听证程序作出行政执法决定的;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(五)案件情况疑难复杂，涉及多个法律关系的;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(六)责令停产停业、吊销许可证或者执照的;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(七)拟对公民处以二千元以上罚款，对法人或者其他组织处以一万元以上罚款的;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(八)其他法律、法规、规章规定应当进行法制审核的。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行政执法机关应当根据前款规定，结合本行业、本部门实际，按照行政执法决定类别制定重大行政执法决定法制审核范围和具体标准，并报同级司法行政机关备案。</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第五条 各级行政执法机关应当配备专门的法制审核人员，确保人员配备适应工作需要。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第六条 行政执法部门负责对法制审核人员的日常管理和业务培训，每年培训不少于一次。培训经费纳入财政预算，予以保障。</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第七条 重大行政执法决定进行法制审核是作出决定前的必经程序，未经审核或者审核未通过的，行政执法机关不得作出。</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第八条 行政执法机关案件承办机构在调查终结后作出行政执法决定前，对符合重大行政执法决定条件的案件应当送本行政执法机关的法制机构进行审核。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第九条 承办机构在送审时应当提交以下材料: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(一)重大行政执法决定的调查终结报告;</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(二)重大行政执法决定建议或者意见及其情况说明;</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(三)重大行政执法决定书代拟稿;</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(四)相关证据资料;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(五)经听证或者评估的，还应当提交听证笔录或者评估报告;</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(六)其他需要提交的材料。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第十条 重大行政执法决定建议情况说明应当载明以下内容: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(一)基本事实;</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(二)适用法律、法规、规章和执行裁量基准的情况;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(三)行政执法人员资格情况;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(四)调查取证和听证情况;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(五)其他需要说明的情况。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第十一条 法制机构对拟作出的重大行政执法决定从以下几个方面进行审核: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(一)行政执法机关主体是否合法，行政执法人员是否具备执法资格;</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(二)主要事实是否清楚，证据是否确凿、充分;</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(三)适用法律、法规、规章是否准确，执行裁量基准是否适当;</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(四)程序是否合法;</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(五)是否有超越本机关职权范围或滥用职权的情形;</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(六)行政执法文书是否规范、齐备;</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(七)违法行为是否涉嫌犯罪需要移送司法机关;</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(八)其他应当审核的内容。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第十二条 法制机构在审核过程中，有权调阅行政执法活动相关材料;必要时也可以向当事人进行调查，相关单位和个人应当予以协助配合。</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第十三条 法制机构对拟作出的重大行政执法决定进行审核后，根据不同情况，提出相应的书面意见或建议:</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(一)主要事实清楚、证据确凿、定性准确、程序合法的，提出同意的意见;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(二)主要事实不清，证据不足的，提出继续调查或不予作出行政执法决定的建议;</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(三)定性不准、适用法律不准确和裁量基准不当的，提出变更意见;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(四)程序不合法的，提出纠正意见;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(五)超出本机关管辖范围或涉嫌犯罪的，提出移送意见。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第十四条 法制机构在收到重大行政执法决定送审材料后，应在7个工作日内审核完毕。案件复杂的，经行政执法机关负责人批准可以延长5个工作日。</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第十五条 承办机构对法制机构审核意见和建议应当研究采纳;有异议的应当与法制机构协商沟通，经沟通达不成一致意见的，将双方意见一并报送行政执法机关负责人处理。</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第十六条 重大行政执法案件经法制机构审核后，提交行政执法机关负责人集体讨论决定。法制审核未通过的，不得作出决定。</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第十七条 各级行政执法机关应当对本机关执行重大行政执法决定法制审核制度作具体规定，细化审核范围，优化审核流程，提高审核质量。</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第十八条 行政执法部门应当建立健全考核制度，加强对重大行政执法决定法制审核情况的监督检查，并将监督检查情况纳入依法行政考核的主要内容。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第十九条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第二十条 本办法自2020年1月1日起施行。</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2562354"/>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81838"/>
    <w:rsid w:val="00192FF7"/>
    <w:rsid w:val="003E321A"/>
    <w:rsid w:val="00EB6A64"/>
    <w:rsid w:val="2D6864A8"/>
    <w:rsid w:val="36C46FC5"/>
    <w:rsid w:val="37720592"/>
    <w:rsid w:val="51580A11"/>
    <w:rsid w:val="57B33578"/>
    <w:rsid w:val="6C871B7A"/>
    <w:rsid w:val="6CBF6100"/>
    <w:rsid w:val="6D3A15BE"/>
    <w:rsid w:val="7B20411B"/>
    <w:rsid w:val="7D28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10"/>
    <w:uiPriority w:val="99"/>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317</Words>
  <Characters>1809</Characters>
  <Lines>15</Lines>
  <Paragraphs>4</Paragraphs>
  <TotalTime>0</TotalTime>
  <ScaleCrop>false</ScaleCrop>
  <LinksUpToDate>false</LinksUpToDate>
  <CharactersWithSpaces>2122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2019-10-15T03:17:00Z</dcterms:created>
  <dc:creator>Administrator</dc:creator>
  <cp:lastModifiedBy>l</cp:lastModifiedBy>
  <dcterms:modified xsi:type="dcterms:W3CDTF">2020-06-02T02:37:18Z</dcterms:modified>
  <dc:title>四平市重大行政执法决定法制审核规定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