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44"/>
          <w:szCs w:val="44"/>
          <w:lang w:eastAsia="zh-CN"/>
        </w:rPr>
        <w:t>双辽</w:t>
      </w:r>
      <w:r>
        <w:rPr>
          <w:rFonts w:hint="eastAsia" w:ascii="黑体" w:hAnsi="黑体" w:eastAsia="黑体" w:cs="方正小标宋简体"/>
          <w:sz w:val="44"/>
          <w:szCs w:val="44"/>
        </w:rPr>
        <w:t>市商务局重大执法决定法制审核清单</w:t>
      </w:r>
    </w:p>
    <w:p>
      <w:pPr>
        <w:spacing w:line="6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填表单位：</w:t>
      </w:r>
      <w:r>
        <w:rPr>
          <w:rFonts w:hint="eastAsia" w:ascii="仿宋" w:hAnsi="仿宋" w:eastAsia="仿宋" w:cs="仿宋"/>
          <w:sz w:val="24"/>
          <w:lang w:eastAsia="zh-CN"/>
        </w:rPr>
        <w:t>双辽</w:t>
      </w:r>
      <w:r>
        <w:rPr>
          <w:rFonts w:hint="eastAsia" w:ascii="仿宋" w:hAnsi="仿宋" w:eastAsia="仿宋" w:cs="仿宋"/>
          <w:sz w:val="24"/>
        </w:rPr>
        <w:t>市商务局                          主要领导签字：</w:t>
      </w:r>
    </w:p>
    <w:tbl>
      <w:tblPr>
        <w:tblStyle w:val="5"/>
        <w:tblW w:w="10908" w:type="dxa"/>
        <w:tblInd w:w="-1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452"/>
        <w:gridCol w:w="1584"/>
        <w:gridCol w:w="1488"/>
        <w:gridCol w:w="1500"/>
        <w:gridCol w:w="1536"/>
        <w:gridCol w:w="170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52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执法类别</w:t>
            </w:r>
          </w:p>
        </w:tc>
        <w:tc>
          <w:tcPr>
            <w:tcW w:w="1584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具体执法决定项目</w:t>
            </w:r>
          </w:p>
        </w:tc>
        <w:tc>
          <w:tcPr>
            <w:tcW w:w="1488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执法依据</w:t>
            </w:r>
          </w:p>
        </w:tc>
        <w:tc>
          <w:tcPr>
            <w:tcW w:w="1500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承办机构</w:t>
            </w:r>
          </w:p>
        </w:tc>
        <w:tc>
          <w:tcPr>
            <w:tcW w:w="1536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应提交的审核资料</w:t>
            </w:r>
          </w:p>
        </w:tc>
        <w:tc>
          <w:tcPr>
            <w:tcW w:w="1704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审核重点</w:t>
            </w:r>
          </w:p>
        </w:tc>
        <w:tc>
          <w:tcPr>
            <w:tcW w:w="804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452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（一）情节复杂的案件，包括1.认定事实和证据有分歧的；2.适用的法律法规难以确定的；3.其他认为属于情节复杂的。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《中华人民共和国对外贸易法》，《对外贸易经营者备案登记办法》，《对外劳务合作经营资格管理办法》，《对外劳务合作管理条例》，《单用途商业预付卡管理办法（试行）》，《再生资源回收管理办法》，《外商投资企业设立及变更备案管理暂行办法（修订）》，《成品油市场管理办法》，《原油市场管理办法》，《商业特许经营管理条例》，《家庭服务业管理暂行办法》，《家电维修服务业管理办法》，《废弃电器电子回收处理管理条例》，《旧电器电子产品流通管理办法》，《汽车销售管理办法》，《报废机动车回收管理办法》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综合科（</w:t>
            </w:r>
            <w:r>
              <w:rPr>
                <w:rFonts w:hint="eastAsia" w:ascii="仿宋" w:hAnsi="仿宋" w:eastAsia="仿宋"/>
                <w:sz w:val="24"/>
              </w:rPr>
              <w:t>法规科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、各相关科室）</w:t>
            </w:r>
          </w:p>
        </w:tc>
        <w:tc>
          <w:tcPr>
            <w:tcW w:w="1536" w:type="dxa"/>
            <w:vMerge w:val="restart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spacing w:line="6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4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8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452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（二）重大违法行为的案件：1.违法行为性质较重或者危害较大的；2.违法行为主体具有涉外因素的；3.其他认为属于重大违法行为的。 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《中华人民共和国对外贸易法》，《对外贸易经营者备案登记办法》，《对外劳务合作经营资格管理办法》，《对外劳务合作管理条例》，《单用途商业预付卡管理办法（试行）》，《再生资源回收管理办法》，《外商投资企业设立及变更备案管理暂行办法（修订）》，《成品油市场管理办法》，《原油市场管理办法》，《商业特许经营管理条例》，《家庭服务业管理暂行办法》，《家电维修服务业管理办法》，《废弃电器电子回收处理管理条例》，《旧电器电子产品流通管理办法》，《汽车销售管理办法》，《报废机动车回收管理办法》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综合科（</w:t>
            </w:r>
            <w:r>
              <w:rPr>
                <w:rFonts w:hint="eastAsia" w:ascii="仿宋" w:hAnsi="仿宋" w:eastAsia="仿宋"/>
                <w:sz w:val="24"/>
              </w:rPr>
              <w:t>法规科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、各相关科室）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spacing w:line="62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62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4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452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（三）较重的行政处罚：1.责令停产停业；2.吊销许可证或者执照；3.对公民处以二千元以上罚款，对法人或者其他组织处以一万元以上罚款。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《中华人民共和国对外贸易法》，《对外贸易经营者备案登记办法》，《对外劳务合作经营资格管理办法》，《对外劳务合作管理条例》，《单用途商业预付卡管理办法（试行）》，《再生资源回收管理办法》，《外商投资企业设立及变更备案管理暂行办法（修订）》，《成品油市场管理办法》，《原油市场管理办法》，《商业特许经营管理条例》，《家庭服务业管理暂行办法》，《家电维修服务业管理办法》，《废弃电器电子回收处理管理条例》，《旧电器电子产品流通管理办法》，《汽车销售管理办法》，《报废机动车回收管理办法》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综合科（</w:t>
            </w:r>
            <w:r>
              <w:rPr>
                <w:rFonts w:hint="eastAsia" w:ascii="仿宋" w:hAnsi="仿宋" w:eastAsia="仿宋"/>
                <w:sz w:val="24"/>
              </w:rPr>
              <w:t>法规科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、各相关科室）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spacing w:line="62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spacing w:line="62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4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452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行政许可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不予行政许可、撤销行政许可或依法应组织听证的行政许可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《中华人民共和国对外贸易法》，《对外贸易经营者备案登记办法》，《对外劳务合作经营资格管理办法》，《对外劳务合作管理条例》，《单用途商业预付卡管理办法（试行）》，《再生资源回收管理办法》，《外商投资企业设立及变更备案管理暂行办法（修订）》，《成品油市场管理办法》，《原油市场管理办法》，《商业特许经营管理条例》，《家庭服务业管理暂行办法》，《家电维修服务业管理办法》，《废弃电器电子回收处理管理条例》，《旧电器电子产品流通管理办法》，《汽车销售管理办法》，《报废机动车回收管理办法》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综合科（</w:t>
            </w:r>
            <w:r>
              <w:rPr>
                <w:rFonts w:hint="eastAsia" w:ascii="仿宋" w:hAnsi="仿宋" w:eastAsia="仿宋"/>
                <w:sz w:val="24"/>
              </w:rPr>
              <w:t>法规科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、各相关科室）</w:t>
            </w:r>
            <w:bookmarkStart w:id="0" w:name="_GoBack"/>
            <w:bookmarkEnd w:id="0"/>
          </w:p>
        </w:tc>
        <w:tc>
          <w:tcPr>
            <w:tcW w:w="1536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1704" w:type="dxa"/>
            <w:vAlign w:val="center"/>
          </w:tcPr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spacing w:line="6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4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480" w:lineRule="exact"/>
        <w:jc w:val="distribute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填表人：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潘坤</w:t>
      </w:r>
      <w:r>
        <w:rPr>
          <w:rFonts w:hint="eastAsia" w:ascii="仿宋" w:hAnsi="仿宋" w:eastAsia="仿宋" w:cs="仿宋"/>
          <w:sz w:val="28"/>
          <w:szCs w:val="28"/>
        </w:rPr>
        <w:t xml:space="preserve">      联系电话：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7225580</w:t>
      </w:r>
      <w:r>
        <w:rPr>
          <w:rFonts w:hint="eastAsia" w:ascii="仿宋" w:hAnsi="仿宋" w:eastAsia="仿宋" w:cs="仿宋"/>
          <w:sz w:val="28"/>
          <w:szCs w:val="28"/>
        </w:rPr>
        <w:t xml:space="preserve">      填表日期：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2020.6.9</w:t>
      </w:r>
    </w:p>
    <w:sectPr>
      <w:pgSz w:w="11906" w:h="16838"/>
      <w:pgMar w:top="149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B2C5E"/>
    <w:rsid w:val="00284802"/>
    <w:rsid w:val="00413CB4"/>
    <w:rsid w:val="00441BCD"/>
    <w:rsid w:val="005A74B4"/>
    <w:rsid w:val="00B1515B"/>
    <w:rsid w:val="00E504E7"/>
    <w:rsid w:val="00FA0C6E"/>
    <w:rsid w:val="07936962"/>
    <w:rsid w:val="3AA02CF1"/>
    <w:rsid w:val="3C1950DE"/>
    <w:rsid w:val="44DB2C5E"/>
    <w:rsid w:val="5090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295</Words>
  <Characters>1683</Characters>
  <Lines>14</Lines>
  <Paragraphs>3</Paragraphs>
  <TotalTime>0</TotalTime>
  <ScaleCrop>false</ScaleCrop>
  <LinksUpToDate>false</LinksUpToDate>
  <CharactersWithSpaces>1975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2019-12-30T09:46:00Z</dcterms:created>
  <dc:creator>lh</dc:creator>
  <cp:lastModifiedBy>l</cp:lastModifiedBy>
  <dcterms:modified xsi:type="dcterms:W3CDTF">2020-06-10T02:23:43Z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