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rPr>
          <w:rFonts w:hint="eastAsia" w:ascii="Calibri" w:hAnsi="Calibri" w:eastAsia="宋体" w:cs="Times New Roman"/>
          <w:b/>
          <w:sz w:val="44"/>
          <w:szCs w:val="44"/>
          <w:lang w:val="en-US" w:eastAsia="zh-CN"/>
        </w:rPr>
      </w:pPr>
      <w:r>
        <w:rPr>
          <w:rFonts w:hint="eastAsia" w:ascii="Calibri" w:hAnsi="Calibri" w:eastAsia="宋体" w:cs="Times New Roman"/>
          <w:b/>
          <w:sz w:val="44"/>
          <w:szCs w:val="44"/>
          <w:lang w:val="en-US" w:eastAsia="zh-CN"/>
        </w:rPr>
        <w:t>双辽市卫生健</w:t>
      </w:r>
      <w:r>
        <w:rPr>
          <w:rFonts w:hint="eastAsia" w:ascii="Calibri" w:hAnsi="Calibri" w:eastAsia="宋体" w:cs="Times New Roman"/>
          <w:b/>
          <w:sz w:val="44"/>
          <w:szCs w:val="44"/>
          <w:lang w:val="en-US" w:eastAsia="zh-CN"/>
        </w:rPr>
        <w:t>康局行政处罚</w:t>
      </w:r>
      <w:r>
        <w:rPr>
          <w:rFonts w:hint="eastAsia" w:ascii="Calibri" w:hAnsi="Calibri" w:eastAsia="宋体" w:cs="Times New Roman"/>
          <w:b/>
          <w:sz w:val="44"/>
          <w:szCs w:val="44"/>
          <w:lang w:val="en-US" w:eastAsia="zh-CN"/>
        </w:rPr>
        <w:t>服务指南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一、执法事项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 卫生健康行政处罚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二、依据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：《中华人民共和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国行政处罚法》《中华人民共和国行政强制法》《中华人民共和国行政复议法》《中华人民共和国行政诉讼法》《中华人民共和国传染病防治法》《中华人民共和国执业医师法》《中华人民共和国职业病防治法》《中华人民共和国人口与计划生育法》《中华人民共和国母婴保健法》《中华人民共和国献血法》《医疗机构管理条例》《学校卫生工作条例》《医疗废物管理条例》《生活饮用水管理办法》《消毒管理办法》《公共场所卫生管理条例》等有关法律、法规及规章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三、处罚范围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：依法开展公共场所卫生、饮用水卫生、学校卫生、医疗卫生、职业卫生、放射卫生、传染病防治、计划生育等综合监督行政执法，查处违法行为。</w:t>
      </w:r>
    </w:p>
    <w:p>
      <w:pPr>
        <w:widowControl/>
        <w:shd w:val="clear" w:color="auto" w:fill="FFFFFF"/>
        <w:spacing w:line="600" w:lineRule="atLeast"/>
        <w:ind w:firstLine="630" w:firstLineChars="196"/>
        <w:rPr>
          <w:rFonts w:hint="eastAsia" w:ascii="宋体" w:hAnsi="宋体" w:eastAsia="仿宋_GB2312" w:cs="宋体"/>
          <w:kern w:val="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四、承办机构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双辽市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卫生健康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局</w:t>
      </w:r>
    </w:p>
    <w:p>
      <w:pPr>
        <w:widowControl/>
        <w:shd w:val="clear" w:color="auto" w:fill="FFFFFF"/>
        <w:spacing w:line="600" w:lineRule="atLeast"/>
        <w:ind w:firstLine="630" w:firstLineChars="196"/>
        <w:jc w:val="left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五、办理流程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双辽市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卫生健康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/>
        </w:rPr>
        <w:t>局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行政处罚流程图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六、办理时限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（一）自受理之日7日内立案；2个月内调查终结，3个月作出行政处罚决定。需要延长办案时限的，应当在期限届满10前报请行政机关负责人集体讨论决定，延长期限一般不超过3个月。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（二）证据先行登记保存时限7天，查封扣押期限30天，情况复杂需要延长的，经行政机关负责人批准可延长30日。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（三）直接送达的文书7日内送达，公告送达时限60天。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七、监督方式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：纪检委问卷调查，法规跟踪稽查。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八、救济渠道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（一）行政处罚事先告知下达后3日内，当事人有要求陈述、申辩或听证的权力；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（二）行政处罚决定书送达后，当事人应当在15日内履行。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（三）如不服行政机关作出的处罚决定，可在收到行政处罚决定书之日起60日内向上级行政部门或同级人民政府申请行政复议，或者6个月内向作出行政处罚决定行政机关所在地人民法院提请诉讼。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十、处罚结果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：向当事人送达行政处罚决定书，行政处罚结果在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双辽市人民政府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网站公示。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十一、责任追究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（一）对没有法定的行政处罚依据，擅自改变行政处罚种类幅度，违反法定的行政处罚程序的，对直接负责的主管人员和其他直接责任人员依法给予行政处分。</w:t>
      </w:r>
    </w:p>
    <w:p>
      <w:pPr>
        <w:widowControl/>
        <w:shd w:val="clear" w:color="auto" w:fill="FFFFFF"/>
        <w:spacing w:line="600" w:lineRule="atLeast"/>
        <w:ind w:firstLine="640"/>
        <w:textAlignment w:val="baseline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（二）对不使用罚款、没收财物单据或者使用非法定部门制发的罚款、没收财物单据的，对直接负责的主管人员和其他直接责任人员依法给予行政处分。</w:t>
      </w:r>
    </w:p>
    <w:p>
      <w:pPr>
        <w:widowControl/>
        <w:shd w:val="clear" w:color="auto" w:fill="FFFFFF"/>
        <w:spacing w:line="600" w:lineRule="atLeast"/>
        <w:ind w:firstLine="640"/>
        <w:textAlignment w:val="baseline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三）对将罚款、没收的违法所得或者财物截留、私分或者变相私分的，由财政部门或者有关部门予以追缴，对直接负责的主管人员和其他直接责任人员依法给予行政处分；情节严重构成犯罪的，依法追究刑事责任。</w:t>
      </w:r>
    </w:p>
    <w:p>
      <w:pPr>
        <w:widowControl/>
        <w:shd w:val="clear" w:color="auto" w:fill="FFFFFF"/>
        <w:spacing w:line="600" w:lineRule="atLeast"/>
        <w:ind w:firstLine="640"/>
        <w:textAlignment w:val="baseline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（四）对利用职务上的便利，索取或者收受他人财物、收缴罚款据为己有，构成犯罪的，依法追究刑事责任；情节轻微不构成犯罪的，依法给予行政处分。</w:t>
      </w:r>
    </w:p>
    <w:p>
      <w:pPr>
        <w:widowControl/>
        <w:shd w:val="clear" w:color="auto" w:fill="FFFFFF"/>
        <w:spacing w:line="600" w:lineRule="atLeast"/>
        <w:ind w:firstLine="640"/>
        <w:textAlignment w:val="baseline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（五）对使用或者损毁扣押的财物，对当事人造成损失的，应当依法予以赔偿，对直接负责的主管人员和其他直接责任人员依法给予行政处分。</w:t>
      </w:r>
    </w:p>
    <w:p>
      <w:pPr>
        <w:widowControl/>
        <w:shd w:val="clear" w:color="auto" w:fill="FFFFFF"/>
        <w:spacing w:line="600" w:lineRule="atLeast"/>
        <w:ind w:firstLine="64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shd w:val="clear" w:color="auto" w:fill="FFFFFF"/>
        </w:rPr>
        <w:t>十二、办公地点、时间及电话</w:t>
      </w:r>
    </w:p>
    <w:p>
      <w:pPr>
        <w:widowControl/>
        <w:shd w:val="clear" w:color="auto" w:fill="FFFFFF"/>
        <w:spacing w:line="600" w:lineRule="atLeast"/>
        <w:ind w:firstLine="640" w:firstLineChars="200"/>
        <w:rPr>
          <w:rFonts w:hint="default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（一）地点：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双辽市卫生健康局</w:t>
      </w:r>
    </w:p>
    <w:p>
      <w:pPr>
        <w:widowControl/>
        <w:shd w:val="clear" w:color="auto" w:fill="FFFFFF"/>
        <w:spacing w:line="600" w:lineRule="atLeas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（二）时间：上午：8:30 ～11:30</w:t>
      </w:r>
    </w:p>
    <w:p>
      <w:pPr>
        <w:widowControl/>
        <w:shd w:val="clear" w:color="auto" w:fill="FFFFFF"/>
        <w:spacing w:line="600" w:lineRule="atLeast"/>
        <w:ind w:firstLine="2560" w:firstLineChars="80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下午：13: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0～1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0</w:t>
      </w:r>
    </w:p>
    <w:p>
      <w:pPr>
        <w:widowControl/>
        <w:shd w:val="clear" w:color="auto" w:fill="FFFFFF"/>
        <w:spacing w:line="600" w:lineRule="atLeast"/>
        <w:ind w:firstLine="640" w:firstLineChars="200"/>
        <w:rPr>
          <w:rFonts w:hint="default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（三）电话：0434-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/>
        </w:rPr>
        <w:t>7226612</w:t>
      </w:r>
    </w:p>
    <w:p>
      <w:pPr>
        <w:widowControl/>
        <w:shd w:val="clear" w:color="auto" w:fill="FFFFFF"/>
        <w:spacing w:line="600" w:lineRule="atLeas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7C6C"/>
    <w:rsid w:val="00327C6C"/>
    <w:rsid w:val="00A76E56"/>
    <w:rsid w:val="49CE6AB7"/>
    <w:rsid w:val="4EED369A"/>
    <w:rsid w:val="683941B3"/>
    <w:rsid w:val="793F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3</Pages>
  <Words>185</Words>
  <Characters>1055</Characters>
  <Lines>8</Lines>
  <Paragraphs>2</Paragraphs>
  <TotalTime>46</TotalTime>
  <ScaleCrop>false</ScaleCrop>
  <LinksUpToDate>false</LinksUpToDate>
  <CharactersWithSpaces>1238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2020-03-17T07:08:00Z</dcterms:created>
  <dc:creator>Microsoft</dc:creator>
  <cp:lastModifiedBy>自己人</cp:lastModifiedBy>
  <dcterms:modified xsi:type="dcterms:W3CDTF">2020-06-19T01:12:46Z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