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双辽市文化广播电视和旅游局重大执法决定法制审核清单</w:t>
      </w:r>
    </w:p>
    <w:p>
      <w:pPr>
        <w:spacing w:line="520" w:lineRule="exact"/>
        <w:jc w:val="left"/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填报单位：双辽市文化广播电视和旅游局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主要领导签字：</w:t>
      </w:r>
    </w:p>
    <w:tbl>
      <w:tblPr>
        <w:tblStyle w:val="5"/>
        <w:tblpPr w:leftFromText="180" w:rightFromText="180" w:vertAnchor="text" w:horzAnchor="page" w:tblpX="1704" w:tblpY="590"/>
        <w:tblOverlap w:val="never"/>
        <w:tblW w:w="137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274"/>
        <w:gridCol w:w="1662"/>
        <w:gridCol w:w="3369"/>
        <w:gridCol w:w="1209"/>
        <w:gridCol w:w="2271"/>
        <w:gridCol w:w="2557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9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74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执法类别</w:t>
            </w:r>
          </w:p>
        </w:tc>
        <w:tc>
          <w:tcPr>
            <w:tcW w:w="1662" w:type="dxa"/>
            <w:vAlign w:val="top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具体执法决定项目</w:t>
            </w:r>
          </w:p>
        </w:tc>
        <w:tc>
          <w:tcPr>
            <w:tcW w:w="3369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执法依据</w:t>
            </w:r>
          </w:p>
        </w:tc>
        <w:tc>
          <w:tcPr>
            <w:tcW w:w="1209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承办机构</w:t>
            </w:r>
          </w:p>
        </w:tc>
        <w:tc>
          <w:tcPr>
            <w:tcW w:w="2271" w:type="dxa"/>
            <w:vAlign w:val="top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应提交的审核资料</w:t>
            </w:r>
          </w:p>
        </w:tc>
        <w:tc>
          <w:tcPr>
            <w:tcW w:w="2557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审核重点</w:t>
            </w:r>
          </w:p>
        </w:tc>
        <w:tc>
          <w:tcPr>
            <w:tcW w:w="711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9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274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行政处罚</w:t>
            </w:r>
          </w:p>
        </w:tc>
        <w:tc>
          <w:tcPr>
            <w:tcW w:w="1662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（一）情节复杂的案件，包括1.认定事实和证据有分歧的；2.适用的法律法规难以确定的；3.其他认为属于情节复杂的。</w:t>
            </w:r>
          </w:p>
        </w:tc>
        <w:tc>
          <w:tcPr>
            <w:tcW w:w="3369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270" w:afterAutospacing="0" w:line="240" w:lineRule="auto"/>
              <w:jc w:val="left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《中华人民共和国文物保护法》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《互联网上网服务营业场所管理条例》《营业性演出管理条例》《营业性演出管理条例实施细则》《娱乐场所管理条例》《美术品经营管理办法》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</w:rPr>
              <w:t>《广播电视管理条例》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《卫星电视广播地面接收设施管理规定》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《卫星电视广播地面接收设施安装服务暂行办法》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《广播电视设施保护条例》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《互联网视听节目服务管理规定》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《广播电视节目传送业务管理办法》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《有线广播电视运营服务管理暂行规定》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《广播电视视频点播业务管理办法》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《广播电视设备器材入网认定管理办法》</w:t>
            </w:r>
          </w:p>
        </w:tc>
        <w:tc>
          <w:tcPr>
            <w:tcW w:w="1209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市场科</w:t>
            </w:r>
          </w:p>
        </w:tc>
        <w:tc>
          <w:tcPr>
            <w:tcW w:w="2271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拟作出重大行政执法决定的调查终结报告；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拟作出重大行政执法决定建议或者意见及其情况说明；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拟作出重大行政执法决定书代拟稿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拟作出重大行政执法决定的相关证据和法律依据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经听证或者评估的，还应当提交听证笔录或者评估报告；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其他需要提交的材料。</w:t>
            </w:r>
          </w:p>
        </w:tc>
        <w:tc>
          <w:tcPr>
            <w:tcW w:w="2557" w:type="dxa"/>
            <w:vMerge w:val="restart"/>
            <w:vAlign w:val="center"/>
          </w:tcPr>
          <w:p>
            <w:pPr>
              <w:ind w:firstLine="420" w:firstLineChars="200"/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是否属于本机关的职权范围，是否有超越本机关职权范围或滥用职权的情形；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事实是否清楚，证据是否确凿；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适用法律依据是否正确；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是否符合法定程序；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内容是否适当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行政执法文书的制作是否规范、齐备；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违法行为是否涉嫌犯罪需要移送司法机关；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 xml:space="preserve">其他应当审核的内容。 </w:t>
            </w:r>
          </w:p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1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7" w:hRule="atLeast"/>
        </w:trPr>
        <w:tc>
          <w:tcPr>
            <w:tcW w:w="669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274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行政处罚</w:t>
            </w:r>
          </w:p>
        </w:tc>
        <w:tc>
          <w:tcPr>
            <w:tcW w:w="1662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 xml:space="preserve">（二）重大违法行为的案件：1.违法行为性质较重或者危害较大的；2.违法行为主体具有涉外因素的；3.其他认为属于重大违法行为的。 </w:t>
            </w:r>
          </w:p>
        </w:tc>
        <w:tc>
          <w:tcPr>
            <w:tcW w:w="3369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270" w:afterAutospacing="0" w:line="240" w:lineRule="auto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《中华人民共和国文物保护法》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《互联网上网服务营业场所管理条例》《营业性演出管理条例》《营业性演出管理条例实施细则》《娱乐场所管理条例》《美术品经营管理办法》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</w:rPr>
              <w:t>《广播电视管理条例》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《卫星电视广播地面接收设施管理规定》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《卫星电视广播地面接收设施安装服务暂行办法》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《广播电视设施保护条例》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《互联网视听节目服务管理规定》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《广播电视节目传送业务管理办法》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《有线广播电视运营服务管理暂行规定》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《广播电视视频点播业务管理办法》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《广播电视设备器材入网认定管理办法》</w:t>
            </w:r>
          </w:p>
        </w:tc>
        <w:tc>
          <w:tcPr>
            <w:tcW w:w="1209" w:type="dxa"/>
            <w:vAlign w:val="center"/>
          </w:tcPr>
          <w:p>
            <w:pPr>
              <w:jc w:val="both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市场科</w:t>
            </w:r>
          </w:p>
        </w:tc>
        <w:tc>
          <w:tcPr>
            <w:tcW w:w="2271" w:type="dxa"/>
            <w:vMerge w:val="continue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7" w:type="dxa"/>
            <w:vMerge w:val="continue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711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2" w:hRule="atLeast"/>
        </w:trPr>
        <w:tc>
          <w:tcPr>
            <w:tcW w:w="669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274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行政处罚</w:t>
            </w:r>
          </w:p>
        </w:tc>
        <w:tc>
          <w:tcPr>
            <w:tcW w:w="1662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（三）较重的行政处罚：1.责令停产停业；2.吊销许可证或者执照；3.对公民处以二千元以上罚款，对法人或者其他组织处以一万元以上罚款。</w:t>
            </w:r>
          </w:p>
        </w:tc>
        <w:tc>
          <w:tcPr>
            <w:tcW w:w="3369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270" w:afterAutospacing="0" w:line="240" w:lineRule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《中华人民共和国文物保护法》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《互联网上网服务营业场所管理条例》《营业性演出管理条例》《营业性演出管理条例实施细则》《娱乐场所管理条例》《美术品经营管理办法》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</w:rPr>
              <w:t>《广播电视管理条例》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《卫星电视广播地面接收设施管理规定》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《卫星电视广播地面接收设施安装服务暂行办法》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《广播电视设施保护条例》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《互联网视听节目服务管理规定》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《广播电视节目传送业务管理办法》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《有线广播电视运营服务管理暂行规定》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《广播电视视频点播业务管理办法》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《广播电视设备器材入网认定管理办法》</w:t>
            </w:r>
          </w:p>
        </w:tc>
        <w:tc>
          <w:tcPr>
            <w:tcW w:w="120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市场科</w:t>
            </w:r>
          </w:p>
        </w:tc>
        <w:tc>
          <w:tcPr>
            <w:tcW w:w="2271" w:type="dxa"/>
            <w:vMerge w:val="continue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557" w:type="dxa"/>
            <w:vMerge w:val="continue"/>
            <w:vAlign w:val="center"/>
          </w:tcPr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711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</w:trPr>
        <w:tc>
          <w:tcPr>
            <w:tcW w:w="669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74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行政许可</w:t>
            </w:r>
          </w:p>
        </w:tc>
        <w:tc>
          <w:tcPr>
            <w:tcW w:w="1662" w:type="dxa"/>
            <w:vAlign w:val="center"/>
          </w:tcPr>
          <w:p>
            <w:pPr>
              <w:jc w:val="both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不予行政许可、撤销行政许可或依法应组织听证的行政许可</w:t>
            </w:r>
          </w:p>
        </w:tc>
        <w:tc>
          <w:tcPr>
            <w:tcW w:w="3369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270" w:afterAutospacing="0" w:line="240" w:lineRule="auto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《中华人民共和国文物保护法》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1"/>
                <w:szCs w:val="21"/>
              </w:rPr>
              <w:t>《互联网上网服务营业场所管理条例》《营业性演出管理条例》《营业性演出管理条例实施细则》《娱乐场所管理条例》《美术品经营管理办法》</w:t>
            </w:r>
            <w:r>
              <w:rPr>
                <w:rFonts w:hint="eastAsia" w:ascii="仿宋" w:hAnsi="仿宋" w:eastAsia="仿宋" w:cs="仿宋"/>
                <w:b w:val="0"/>
                <w:bCs w:val="0"/>
                <w:kern w:val="36"/>
                <w:sz w:val="21"/>
                <w:szCs w:val="21"/>
              </w:rPr>
              <w:t>《广播电视管理条例》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《卫星电视广播地面接收设施管理规定》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《卫星电视广播地面接收设施安装服务暂行办法》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《广播电视设施保护条例》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《互联网视听节目服务管理规定》</w:t>
            </w: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</w:rPr>
              <w:t>《广播电视节目传送业务管理办法》</w:t>
            </w: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《有线广播电视运营服务管理暂行规定》</w:t>
            </w:r>
            <w:r>
              <w:rPr>
                <w:rStyle w:val="8"/>
                <w:rFonts w:hint="eastAsia" w:ascii="仿宋" w:hAnsi="仿宋" w:eastAsia="仿宋" w:cs="仿宋"/>
                <w:b w:val="0"/>
                <w:bCs/>
                <w:color w:val="000000"/>
                <w:sz w:val="21"/>
                <w:szCs w:val="21"/>
              </w:rPr>
              <w:t>《广播电视视频点播业务管理办法》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</w:rPr>
              <w:t>《广播电视设备器材入网认定管理办法》</w:t>
            </w:r>
          </w:p>
        </w:tc>
        <w:tc>
          <w:tcPr>
            <w:tcW w:w="1209" w:type="dxa"/>
            <w:vAlign w:val="center"/>
          </w:tcPr>
          <w:p>
            <w:pPr>
              <w:jc w:val="both"/>
              <w:rPr>
                <w:rFonts w:hint="eastAsia" w:ascii="仿宋" w:hAnsi="仿宋" w:eastAsia="仿宋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市场科</w:t>
            </w:r>
          </w:p>
        </w:tc>
        <w:tc>
          <w:tcPr>
            <w:tcW w:w="227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拟作出重大行政执法决定的调查终结报告；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拟作出重大行政执法决定建议或者意见及其情况说明；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拟作出重大行政执法决定书代拟稿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拟作出重大行政执法决定的相关证据和法律依据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经听证或者评估的，还应当提交听证笔录或者评估报告；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其他需要提交的材料。</w:t>
            </w:r>
          </w:p>
        </w:tc>
        <w:tc>
          <w:tcPr>
            <w:tcW w:w="2557" w:type="dxa"/>
            <w:vAlign w:val="center"/>
          </w:tcPr>
          <w:p>
            <w:pPr>
              <w:ind w:firstLine="420" w:firstLineChars="200"/>
              <w:jc w:val="both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是否属于本机关的职权范围，是否有超越本机关职权范围或滥用职权的情形；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事实是否清楚，证据是否确凿；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适用法律依据是否正确；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是否符合法定程序；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内容是否适当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行政执法文书的制作是否规范、齐备；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违法行为是否涉嫌犯罪需要移送司法机关；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 xml:space="preserve">其他应当审核的内容。 </w:t>
            </w:r>
          </w:p>
          <w:p>
            <w:pPr>
              <w:spacing w:line="620" w:lineRule="exact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1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669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74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行政强制</w:t>
            </w:r>
          </w:p>
        </w:tc>
        <w:tc>
          <w:tcPr>
            <w:tcW w:w="1662" w:type="dxa"/>
            <w:vAlign w:val="top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查封从事违法互联网上网服务经营活动的场所，扣押从事违法互联网上网服务经营活动的专用工具、设备</w:t>
            </w:r>
          </w:p>
        </w:tc>
        <w:tc>
          <w:tcPr>
            <w:tcW w:w="3369" w:type="dxa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420"/>
              </w:tabs>
              <w:spacing w:line="240" w:lineRule="auto"/>
              <w:jc w:val="both"/>
              <w:rPr>
                <w:rFonts w:hint="eastAsia" w:ascii="仿宋" w:hAnsi="仿宋" w:eastAsia="宋体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《互联网上网服务营业场所管理条例》《行政强制法》</w:t>
            </w:r>
          </w:p>
        </w:tc>
        <w:tc>
          <w:tcPr>
            <w:tcW w:w="1209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市场科</w:t>
            </w:r>
          </w:p>
        </w:tc>
        <w:tc>
          <w:tcPr>
            <w:tcW w:w="2271" w:type="dxa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425"/>
              </w:tabs>
              <w:spacing w:line="240" w:lineRule="auto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 xml:space="preserve">    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拟作出重大行政执法决定的调查终结报告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 xml:space="preserve"> ；2.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拟作出重大行政执法决定建议或者意见及其情况说明；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拟作出重大行政执法决定书代拟稿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拟作出重大行政执法决定的相关证据和法律依据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；5.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经听证或者评估的，还应当提交听证笔录或者评估报告；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其他需要提交的材料。</w:t>
            </w:r>
          </w:p>
        </w:tc>
        <w:tc>
          <w:tcPr>
            <w:tcW w:w="2557" w:type="dxa"/>
            <w:vAlign w:val="top"/>
          </w:tcPr>
          <w:p>
            <w:p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是否属于本机关的职权范围，是否有超越本机关职权范围或滥用职权的情形；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事实是否清楚，证据是否确凿；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适用法律依据是否正确；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是否符合法定程序；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内容是否适当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行政执法文书的制作是否规范、齐备；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违法行为是否涉嫌犯罪需要移送司法机关；</w:t>
            </w: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ascii="仿宋" w:hAnsi="仿宋" w:eastAsia="仿宋"/>
                <w:sz w:val="21"/>
                <w:szCs w:val="21"/>
              </w:rPr>
              <w:t xml:space="preserve">其他应当审核的内容。 </w:t>
            </w:r>
          </w:p>
        </w:tc>
        <w:tc>
          <w:tcPr>
            <w:tcW w:w="711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480" w:lineRule="exact"/>
        <w:jc w:val="left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填表人：刘丽娜               联系电话：7209986                             填表日期：2020.5.31</w:t>
      </w:r>
    </w:p>
    <w:sectPr>
      <w:pgSz w:w="16838" w:h="11906" w:orient="landscape"/>
      <w:pgMar w:top="1803" w:right="1497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44DB2C5E"/>
    <w:rsid w:val="07936962"/>
    <w:rsid w:val="1AC77C9D"/>
    <w:rsid w:val="32EA11C3"/>
    <w:rsid w:val="3B746BBE"/>
    <w:rsid w:val="44DB2C5E"/>
    <w:rsid w:val="59510010"/>
    <w:rsid w:val="6A306605"/>
    <w:rsid w:val="6E692EC8"/>
    <w:rsid w:val="7DDF79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cs="宋体"/>
      <w:color w:val="auto"/>
      <w:kern w:val="0"/>
      <w:sz w:val="24"/>
      <w:szCs w:val="24"/>
      <w:shd w:val="clear" w:color="auto" w:fill="auto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lemmatitleh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2019-12-30T09:46:00Z</dcterms:created>
  <dc:creator>lh</dc:creator>
  <cp:lastModifiedBy>Administrator</cp:lastModifiedBy>
  <dcterms:modified xsi:type="dcterms:W3CDTF">2020-06-09T01:52:16Z</dcterms:modified>
  <dc:title>四平市文化广播电视和旅游局重大执法决定法制审核清单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