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40" w:lineRule="exact"/>
        <w:ind w:right="0" w:rightChars="0"/>
        <w:jc w:val="both"/>
        <w:textAlignment w:val="auto"/>
        <w:rPr>
          <w:rFonts w:hint="eastAsia" w:ascii="黑体" w:hAnsi="黑体" w:eastAsia="黑体" w:cs="黑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/>
        </w:rPr>
        <w:pict>
          <v:shape id="_x0000_s1026" o:spid="_x0000_s1026" o:spt="136" type="#_x0000_t136" style="position:absolute;left:0pt;margin-left:-10.15pt;margin-top:13.15pt;height:57.75pt;width:430.9pt;z-index:251658240;mso-width-relative:page;mso-height-relative:page;" fillcolor="#FF0000" filled="t" stroked="f" coordsize="21600,21600">
            <v:path/>
            <v:fill on="t" focussize="0,0"/>
            <v:stroke on="f"/>
            <v:imagedata o:title=""/>
            <o:lock v:ext="edit" aspectratio="f"/>
            <v:textpath on="t" fitshape="t" fitpath="t" trim="t" xscale="f" string="双辽市市场监督管理局文件" style="font-family:方正小标宋_GBK;font-size:40pt;font-weight:bold;v-text-align:center;v-text-spacing:75367f;"/>
          </v:shape>
        </w:pic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40" w:lineRule="exact"/>
        <w:ind w:right="0" w:rightChars="0"/>
        <w:jc w:val="both"/>
        <w:textAlignment w:val="auto"/>
        <w:rPr>
          <w:rFonts w:hint="eastAsia" w:ascii="黑体" w:hAnsi="黑体" w:eastAsia="黑体" w:cs="黑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40" w:lineRule="exact"/>
        <w:ind w:right="0" w:rightChars="0"/>
        <w:jc w:val="both"/>
        <w:textAlignment w:val="auto"/>
        <w:rPr>
          <w:rFonts w:hint="eastAsia" w:ascii="黑体" w:hAnsi="黑体" w:eastAsia="黑体" w:cs="黑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40" w:lineRule="exact"/>
        <w:ind w:right="0" w:rightChars="0"/>
        <w:jc w:val="both"/>
        <w:textAlignment w:val="auto"/>
        <w:rPr>
          <w:rFonts w:hint="eastAsia" w:ascii="黑体" w:hAnsi="黑体" w:eastAsia="黑体" w:cs="黑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342265</wp:posOffset>
                </wp:positionV>
                <wp:extent cx="5616575" cy="15240"/>
                <wp:effectExtent l="0" t="6350" r="3175" b="698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6575" cy="1524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8.75pt;margin-top:26.95pt;height:1.2pt;width:442.25pt;z-index:251662336;mso-width-relative:page;mso-height-relative:page;" filled="f" stroked="t" coordsize="21600,21600" o:gfxdata="UEsDBAoAAAAAAIdO4kAAAAAAAAAAAAAAAAAEAAAAZHJzL1BLAwQUAAAACACHTuJARPH0h9kAAAAJ&#10;AQAADwAAAGRycy9kb3ducmV2LnhtbE2Py27CMBBF95X6D9ZU6g4cSIEQ4iBRqYuyqXioaxObxKo9&#10;jmyH0L/vdNUuZ+bozrnV9u4su+kQjUcBs2kGTGPjlcFWwPn0NimAxSRRSetRC/jWEbb140MlS+VH&#10;POjbMbWMQjCWUkCXUl9yHptOOxmnvtdIt6sPTiYaQ8tVkCOFO8vnWbbkThqkD53s9Wunm6/j4ATs&#10;D2b8mJ/Wn3LYF2hNuzuH950Qz0+zbAMs6Xv6g+FXn9ShJqeLH1BFZgVM8tWCUAGLfA2MgOJlReUu&#10;tFjmwOuK/29Q/wBQSwMEFAAAAAgAh07iQFgEZufpAQAApQMAAA4AAABkcnMvZTJvRG9jLnhtbK1T&#10;u64TMRDtkfgHyz3Zh0guWmVzixtCgyASj37ix64lv2T7ZpOf4AeQ6KCipOdvuHwGYyeEV4MQW4zG&#10;ntkzc86Ml9cHo8lehKic7WkzqykRljmu7NDTVy83Dx5REhNYDtpZ0dOjiPR6df/ecvKdaN3oNBeB&#10;IIiN3eR7Oqbku6qKbBQG4sx5YTEoXTCQ8BiGigeYEN3oqq3rRTW5wH1wTMSIt+tTkK4KvpSCpedS&#10;RpGI7in2looNxe6yrVZL6IYAflTs3Ab8QxcGlMWiF6g1JCC3Qf0BZRQLLjqZZsyZykmpmCgckE1T&#10;/8bmxQheFC4oTvQXmeL/g2XP9ttAFO9pS4kFgyO6e/vpy5v3Xz+/Q3v38QNps0iTjx3m3thtOJ+i&#10;34bM+CCDIVIr/xrnXzRAVuRQJD5eJBaHRBhezhfNYn41p4RhrJm3D8sIqhNMhvMhpifCGZKdnmpl&#10;swLQwf5pTFgaU7+n5GttyYRA7VWN02WAGyQ1JHSNR07RDuXn6LTiG6V1/iWGYXejA9kD7sRmU+OX&#10;GSLwL2m5yhrieMorodO2jAL4Y8tJOnpUy+Ja09yDEZwSLfAVZA8BoUug9N9kYmltsYMs8knW7O0c&#10;P+Jsbn1Qw4hSNKXLHMFdKP2e9zYv28/ngvTjda2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Tx&#10;9IfZAAAACQEAAA8AAAAAAAAAAQAgAAAAIgAAAGRycy9kb3ducmV2LnhtbFBLAQIUABQAAAAIAIdO&#10;4kBYBGbn6QEAAKUDAAAOAAAAAAAAAAEAIAAAACgBAABkcnMvZTJvRG9jLnhtbFBLBQYAAAAABgAG&#10;AFkBAACDBQAAAAA=&#10;">
                <v:fill on="f" focussize="0,0"/>
                <v:stroke weight="1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kern w:val="0"/>
          <w:sz w:val="44"/>
          <w:szCs w:val="44"/>
          <w:shd w:val="clear" w:color="090000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kern w:val="0"/>
          <w:sz w:val="44"/>
          <w:szCs w:val="44"/>
          <w:shd w:val="clear" w:color="090000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kern w:val="0"/>
          <w:sz w:val="44"/>
          <w:szCs w:val="44"/>
          <w:shd w:val="clear" w:color="090000" w:fill="FFFFFF"/>
          <w:lang w:val="en-US" w:eastAsia="zh-CN"/>
        </w:rPr>
        <w:t>双辽市市场监督管理局</w: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kern w:val="0"/>
          <w:sz w:val="44"/>
          <w:szCs w:val="44"/>
          <w:shd w:val="clear" w:color="090000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kern w:val="0"/>
          <w:sz w:val="44"/>
          <w:szCs w:val="44"/>
          <w:shd w:val="clear" w:color="090000" w:fill="FFFFFF"/>
          <w:lang w:val="en-US" w:eastAsia="zh-CN"/>
        </w:rPr>
        <w:t>行政执法公示</w:t>
      </w:r>
      <w:bookmarkStart w:id="0" w:name="第一章总则"/>
      <w:bookmarkEnd w:id="0"/>
      <w:bookmarkStart w:id="1" w:name="2"/>
      <w:bookmarkEnd w:id="1"/>
      <w:bookmarkStart w:id="2" w:name="sub22679318_2"/>
      <w:bookmarkEnd w:id="2"/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kern w:val="0"/>
          <w:sz w:val="44"/>
          <w:szCs w:val="44"/>
          <w:shd w:val="clear" w:color="090000" w:fill="FFFFFF"/>
          <w:lang w:val="en-US" w:eastAsia="zh-CN"/>
        </w:rPr>
        <w:t>办法（暂行）</w: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color="0A0000" w:fill="FFFFFF"/>
          <w:lang w:val="en-US" w:eastAsia="zh-CN"/>
        </w:rPr>
        <w:t>第一条  为全面实施行政执法公示办法，提高行政执法工作透明度，保障和监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督市市场监督管理局各行政执法部门依法行政，切实保护公民、法人和其他组织的合法权益，加快建设法治市场监管，优化双辽市营商环境，根据有关法律法规规定，结合我局实际，制定本办法。</w: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第二条  市场监督管理局应当在行政执法行为中全面推行行政执法公示办法。</w: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第三条  行政执法公示应当坚持公平、公正、合法、及时、准确、便民的原则。</w: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bookmarkStart w:id="3" w:name="sub22679318_3"/>
      <w:bookmarkEnd w:id="3"/>
      <w:bookmarkStart w:id="4" w:name="第二章公示公开内容"/>
      <w:bookmarkEnd w:id="4"/>
      <w:bookmarkStart w:id="5" w:name="3"/>
      <w:bookmarkEnd w:id="5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第四条  行政执法人员进行监督检查、调查取证、告知送达等执法活动时应当出示执法证件，出具执法文书，告知行政相对人执法事由、执法依据、权利义务等内容，并做好说明解释工作。</w: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第五条  市场监督管理局作出的行政许可、行政处罚、行政检查决定（结果），除法律、法规、规章另有规定外，应当予以公开，接受社会监督。</w: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第六条  市场监督管理局公开的行政执法决定（结果）信息，包括行政相对人、执法方式、执法内容、执法决定（结果）、执法机关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color="0A0000" w:fill="FFFFFF"/>
          <w:lang w:val="en-US" w:eastAsia="zh-CN"/>
        </w:rPr>
        <w:t>、执法对象、执法类别、执法结论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等内容。</w: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第七条  公示行政处罚信息应当遵守《保守国家秘密法》，凡可能泄露国家秘密、危及国家安全、公共安全、经济安全和社会稳定的行政处罚信息，由办案机构填写《行政处罚案件有关事项审批表》</w:t>
      </w:r>
      <w:bookmarkStart w:id="15" w:name="_GoBack"/>
      <w:bookmarkEnd w:id="15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报市司法局，在集体讨论案件时一并商议，并经局长批准后，可以不予公示。法律、法规、规章对行政执法决定（结果）公开另有规定的，从其规定。</w:t>
      </w:r>
      <w:bookmarkStart w:id="6" w:name="4"/>
      <w:bookmarkEnd w:id="6"/>
      <w:bookmarkStart w:id="7" w:name="sub22679318_4"/>
      <w:bookmarkEnd w:id="7"/>
      <w:bookmarkStart w:id="8" w:name="第三章公示公开载体"/>
      <w:bookmarkEnd w:id="8"/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第八条  市场监督管理局各执法办案机构按照“谁执法、谁公开”的原则，作出的行政执法决定由各办案机构在吉林省“互联网+监管”工作门户（国家企业信用信息公示系统）公开，不能在吉林省“互联网+监管”工作门户（国家企业信用信息公示系统）公开的要在官方网站公开。</w: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bookmarkStart w:id="9" w:name="5"/>
      <w:bookmarkEnd w:id="9"/>
      <w:bookmarkStart w:id="10" w:name="第四章公示公开程序"/>
      <w:bookmarkEnd w:id="10"/>
      <w:bookmarkStart w:id="11" w:name="sub22679318_5"/>
      <w:bookmarkEnd w:id="11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第九条  市场监督管理局应当根据“双随机、一公开”监管要求，编制《随机抽查事项清单》，明确抽查主体、依据、对象、内容、方式等须事前公开的内容。</w: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第十条  各类行政执法决定（结果）应当自该信息形成或者变更之日起7个工作日内予以公开。但各执法办案机构按照省、市推广“双随机”抽查规范事中事后监管的要求，对抽查结果正常的市场主体，自抽查结束之日起20个工作日内向社会公示；对抽查有问题的市场主体，区分情况依法作出处理并向社会公示。</w: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法律、法规、规章对公开的时限另有规定的，从其规定。</w: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第十一条  行政执法决定（结果）信息公开满5年的，可以从公示载体上撤下。但行政相对人是自然人的，公开满2年的，可以从公示载体上撤下。已经公开的原行政执法决定（结果）被依法撤销、确认违法或者要求重新作出的，行政执法部门应当及时撤下公开的原行政处罚案件信息，并作出必要的说明。</w: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第十二条  市场监督管理局公开行政执法信息应当进行内部审核，明确审查的程序和责任，对拟公示的信息依法进行审查，未经审查不得发布。</w: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第十三条  发现公开的行政执法信息不准确的，应当及时更正。公民、法人或者其他组织有证据证明公示的行政执法信息不准确的，有权要求实施公开的行政执法部门予以更正；行政执法部门应当及时作出处理。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8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</w:rPr>
      </w:pPr>
      <w:bookmarkStart w:id="12" w:name="sub22679318_6"/>
      <w:bookmarkEnd w:id="12"/>
      <w:bookmarkStart w:id="13" w:name="第五章监督检查"/>
      <w:bookmarkEnd w:id="13"/>
      <w:bookmarkStart w:id="14" w:name="6"/>
      <w:bookmarkEnd w:id="14"/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color="0A0000" w:fill="FFFFFF"/>
          <w:lang w:val="en-US" w:eastAsia="zh-CN"/>
        </w:rPr>
        <w:t xml:space="preserve">第十四条  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市场监督管理局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color="0A0000" w:fill="FFFFFF"/>
          <w:lang w:val="en-US" w:eastAsia="zh-CN"/>
        </w:rPr>
        <w:t>应当建立健全考核制度，加强对行政执法公示办法推行情况的监督检查，并将监督检查情况纳入依法行政考核的主要内容。</w: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第十五条  建立健全责任追究制度，对不按要求公示、选择性公示、更新维护不及时等问题，责令改正；情节严重的，追究有关责任人员责任。</w:t>
      </w:r>
    </w:p>
    <w:p>
      <w:pPr>
        <w:keepNext w:val="0"/>
        <w:keepLines w:val="0"/>
        <w:pageBreakBefore w:val="0"/>
        <w:widowControl/>
        <w:shd w:val="clear" w:color="05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 xml:space="preserve">第十六条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本办法由局法规科负责解释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080000" w:fill="FFFFFF"/>
          <w:lang w:val="en-US" w:eastAsia="zh-CN"/>
        </w:rPr>
        <w:t>。</w:t>
      </w:r>
    </w:p>
    <w:tbl>
      <w:tblPr>
        <w:tblStyle w:val="5"/>
        <w:tblpPr w:vertAnchor="page" w:horzAnchor="page" w:tblpX="1873" w:tblpY="13963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84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pStyle w:val="8"/>
              <w:ind w:firstLine="296" w:firstLineChars="100"/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抄送：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45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noWrap w:val="0"/>
            <w:vAlign w:val="top"/>
          </w:tcPr>
          <w:p>
            <w:pPr>
              <w:pStyle w:val="8"/>
              <w:ind w:firstLine="268" w:firstLineChars="100"/>
              <w:jc w:val="both"/>
              <w:rPr>
                <w:rFonts w:hint="eastAsia" w:ascii="方正仿宋_GBK" w:hAnsi="方正仿宋_GBK" w:eastAsia="方正仿宋_GBK" w:cs="方正仿宋_GBK"/>
                <w:spacing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6"/>
                <w:sz w:val="28"/>
                <w:szCs w:val="28"/>
              </w:rPr>
              <w:t>双辽市市场监督管理局办公室               2019年11月28日印发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仿宋">
    <w:altName w:val="仿宋_GB2312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56AAA"/>
    <w:rsid w:val="06BA61BA"/>
    <w:rsid w:val="0C856F0A"/>
    <w:rsid w:val="0C9157C5"/>
    <w:rsid w:val="0E450525"/>
    <w:rsid w:val="1327575F"/>
    <w:rsid w:val="261B29C4"/>
    <w:rsid w:val="26741DE6"/>
    <w:rsid w:val="270C5421"/>
    <w:rsid w:val="2C34212F"/>
    <w:rsid w:val="417C18BD"/>
    <w:rsid w:val="4DD83E12"/>
    <w:rsid w:val="63456AAA"/>
    <w:rsid w:val="638228CF"/>
    <w:rsid w:val="69CE5635"/>
    <w:rsid w:val="6FF578EA"/>
    <w:rsid w:val="710E74EF"/>
    <w:rsid w:val="79180D07"/>
    <w:rsid w:val="79B7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customStyle="1" w:styleId="8">
    <w:name w:val="印制日期"/>
    <w:qFormat/>
    <w:uiPriority w:val="0"/>
    <w:pPr>
      <w:spacing w:line="480" w:lineRule="exact"/>
      <w:ind w:right="295"/>
      <w:jc w:val="right"/>
    </w:pPr>
    <w:rPr>
      <w:rFonts w:ascii="仿宋_GB2312" w:hAnsi="文星仿宋" w:eastAsia="仿宋_GB2312" w:cs="Times New Roman"/>
      <w:spacing w:val="8"/>
      <w:kern w:val="2"/>
      <w:position w:val="4"/>
      <w:sz w:val="30"/>
      <w:szCs w:val="3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2019-10-15T03:01:00Z</dcterms:created>
  <dc:creator>Administrator</dc:creator>
  <cp:lastModifiedBy>Administrator</cp:lastModifiedBy>
  <cp:lastPrinted>2019-12-01T23:07:00Z</cp:lastPrinted>
  <dcterms:modified xsi:type="dcterms:W3CDTF">2020-06-06T05:05:35Z</dcterms:modified>
  <dc:title>四平市行政执法公示规定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