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1B9F4D">
      <w:bookmarkStart w:id="0" w:name="_Hlk30670241"/>
    </w:p>
    <w:p w14:paraId="466293EB"/>
    <w:tbl>
      <w:tblPr>
        <w:tblStyle w:val="4"/>
        <w:tblW w:w="13680" w:type="dxa"/>
        <w:tblInd w:w="0" w:type="dxa"/>
        <w:tblLayout w:type="fixed"/>
        <w:tblCellMar>
          <w:top w:w="0" w:type="dxa"/>
          <w:left w:w="0" w:type="dxa"/>
          <w:bottom w:w="0" w:type="dxa"/>
          <w:right w:w="0" w:type="dxa"/>
        </w:tblCellMar>
      </w:tblPr>
      <w:tblGrid>
        <w:gridCol w:w="426"/>
        <w:gridCol w:w="2503"/>
        <w:gridCol w:w="2958"/>
        <w:gridCol w:w="1920"/>
        <w:gridCol w:w="2055"/>
        <w:gridCol w:w="2130"/>
        <w:gridCol w:w="1688"/>
      </w:tblGrid>
      <w:tr w14:paraId="29749DBA">
        <w:tblPrEx>
          <w:tblCellMar>
            <w:top w:w="0" w:type="dxa"/>
            <w:left w:w="0" w:type="dxa"/>
            <w:bottom w:w="0" w:type="dxa"/>
            <w:right w:w="0" w:type="dxa"/>
          </w:tblCellMar>
        </w:tblPrEx>
        <w:trPr>
          <w:trHeight w:val="400" w:hRule="atLeast"/>
        </w:trPr>
        <w:tc>
          <w:tcPr>
            <w:tcW w:w="13680" w:type="dxa"/>
            <w:gridSpan w:val="7"/>
            <w:tcBorders>
              <w:top w:val="nil"/>
              <w:left w:val="nil"/>
              <w:bottom w:val="nil"/>
              <w:right w:val="nil"/>
            </w:tcBorders>
            <w:shd w:val="clear" w:color="auto" w:fill="auto"/>
            <w:tcMar>
              <w:top w:w="15" w:type="dxa"/>
              <w:left w:w="15" w:type="dxa"/>
              <w:right w:w="15" w:type="dxa"/>
            </w:tcMar>
            <w:vAlign w:val="center"/>
          </w:tcPr>
          <w:p w14:paraId="67866243">
            <w:pPr>
              <w:rPr>
                <w:rFonts w:ascii="宋体" w:hAnsi="宋体" w:cs="宋体"/>
                <w:color w:val="000000"/>
                <w:sz w:val="24"/>
                <w:szCs w:val="24"/>
              </w:rPr>
            </w:pPr>
            <w:r>
              <w:rPr>
                <w:rFonts w:hint="eastAsia" w:ascii="黑体" w:hAnsi="宋体" w:eastAsia="黑体" w:cs="黑体"/>
                <w:color w:val="000000"/>
                <w:kern w:val="0"/>
                <w:sz w:val="28"/>
                <w:szCs w:val="28"/>
                <w:lang w:bidi="ar"/>
              </w:rPr>
              <w:t>附件：1</w:t>
            </w:r>
          </w:p>
        </w:tc>
      </w:tr>
      <w:tr w14:paraId="4791B8F6">
        <w:tblPrEx>
          <w:tblCellMar>
            <w:top w:w="0" w:type="dxa"/>
            <w:left w:w="0" w:type="dxa"/>
            <w:bottom w:w="0" w:type="dxa"/>
            <w:right w:w="0" w:type="dxa"/>
          </w:tblCellMar>
        </w:tblPrEx>
        <w:trPr>
          <w:trHeight w:val="596" w:hRule="atLeast"/>
        </w:trPr>
        <w:tc>
          <w:tcPr>
            <w:tcW w:w="13680" w:type="dxa"/>
            <w:gridSpan w:val="7"/>
            <w:tcBorders>
              <w:top w:val="nil"/>
              <w:left w:val="nil"/>
              <w:bottom w:val="nil"/>
              <w:right w:val="nil"/>
            </w:tcBorders>
            <w:shd w:val="clear" w:color="auto" w:fill="auto"/>
            <w:tcMar>
              <w:top w:w="15" w:type="dxa"/>
              <w:left w:w="15" w:type="dxa"/>
              <w:right w:w="15" w:type="dxa"/>
            </w:tcMar>
            <w:vAlign w:val="center"/>
          </w:tcPr>
          <w:p w14:paraId="79D3A5EF">
            <w:pPr>
              <w:widowControl/>
              <w:jc w:val="center"/>
              <w:textAlignment w:val="center"/>
              <w:rPr>
                <w:rFonts w:ascii="方正小标宋简体" w:hAnsi="方正小标宋简体" w:eastAsia="方正小标宋简体" w:cs="方正小标宋简体"/>
                <w:color w:val="000000"/>
                <w:sz w:val="40"/>
                <w:szCs w:val="40"/>
              </w:rPr>
            </w:pPr>
            <w:r>
              <w:rPr>
                <w:rFonts w:hint="eastAsia" w:ascii="方正小标宋简体" w:hAnsi="方正小标宋简体" w:eastAsia="方正小标宋简体" w:cs="方正小标宋简体"/>
                <w:color w:val="000000"/>
                <w:kern w:val="0"/>
                <w:sz w:val="40"/>
                <w:szCs w:val="40"/>
                <w:lang w:bidi="ar"/>
              </w:rPr>
              <w:t>双辽</w:t>
            </w:r>
            <w:r>
              <w:rPr>
                <w:rFonts w:ascii="方正小标宋简体" w:hAnsi="方正小标宋简体" w:eastAsia="方正小标宋简体" w:cs="方正小标宋简体"/>
                <w:color w:val="000000"/>
                <w:kern w:val="0"/>
                <w:sz w:val="40"/>
                <w:szCs w:val="40"/>
                <w:lang w:bidi="ar"/>
              </w:rPr>
              <w:t>市</w:t>
            </w:r>
            <w:r>
              <w:rPr>
                <w:rFonts w:hint="eastAsia" w:ascii="方正小标宋简体" w:hAnsi="方正小标宋简体" w:eastAsia="方正小标宋简体" w:cs="方正小标宋简体"/>
                <w:color w:val="000000"/>
                <w:kern w:val="0"/>
                <w:sz w:val="40"/>
                <w:szCs w:val="40"/>
                <w:lang w:bidi="ar"/>
              </w:rPr>
              <w:t>人力资源和社会保障局</w:t>
            </w:r>
            <w:r>
              <w:rPr>
                <w:rFonts w:ascii="方正小标宋简体" w:hAnsi="方正小标宋简体" w:eastAsia="方正小标宋简体" w:cs="方正小标宋简体"/>
                <w:color w:val="000000"/>
                <w:kern w:val="0"/>
                <w:sz w:val="40"/>
                <w:szCs w:val="40"/>
                <w:lang w:bidi="ar"/>
              </w:rPr>
              <w:t>随机抽查事项清单</w:t>
            </w:r>
          </w:p>
        </w:tc>
      </w:tr>
      <w:tr w14:paraId="6A7BC257">
        <w:tblPrEx>
          <w:tblCellMar>
            <w:top w:w="0" w:type="dxa"/>
            <w:left w:w="0" w:type="dxa"/>
            <w:bottom w:w="0" w:type="dxa"/>
            <w:right w:w="0" w:type="dxa"/>
          </w:tblCellMar>
        </w:tblPrEx>
        <w:trPr>
          <w:trHeight w:val="402" w:hRule="atLeast"/>
        </w:trPr>
        <w:tc>
          <w:tcPr>
            <w:tcW w:w="13680" w:type="dxa"/>
            <w:gridSpan w:val="7"/>
            <w:tcBorders>
              <w:top w:val="nil"/>
              <w:left w:val="nil"/>
              <w:bottom w:val="single" w:color="000000" w:sz="4" w:space="0"/>
              <w:right w:val="nil"/>
            </w:tcBorders>
            <w:shd w:val="clear" w:color="auto" w:fill="auto"/>
            <w:tcMar>
              <w:top w:w="15" w:type="dxa"/>
              <w:left w:w="15" w:type="dxa"/>
              <w:right w:w="15" w:type="dxa"/>
            </w:tcMar>
            <w:vAlign w:val="center"/>
          </w:tcPr>
          <w:p w14:paraId="3C718803">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填报部门：（盖章）                                                                       日期：2</w:t>
            </w:r>
            <w:r>
              <w:rPr>
                <w:rFonts w:ascii="宋体" w:hAnsi="宋体" w:cs="宋体"/>
                <w:color w:val="000000"/>
                <w:kern w:val="0"/>
                <w:sz w:val="24"/>
                <w:szCs w:val="24"/>
                <w:lang w:bidi="ar"/>
              </w:rPr>
              <w:t>020</w:t>
            </w:r>
            <w:r>
              <w:rPr>
                <w:rFonts w:hint="eastAsia" w:ascii="宋体" w:hAnsi="宋体" w:cs="宋体"/>
                <w:color w:val="000000"/>
                <w:kern w:val="0"/>
                <w:sz w:val="24"/>
                <w:szCs w:val="24"/>
                <w:lang w:bidi="ar"/>
              </w:rPr>
              <w:t xml:space="preserve"> 年</w:t>
            </w:r>
            <w:r>
              <w:rPr>
                <w:rFonts w:ascii="宋体" w:hAnsi="宋体" w:cs="宋体"/>
                <w:color w:val="000000"/>
                <w:kern w:val="0"/>
                <w:sz w:val="24"/>
                <w:szCs w:val="24"/>
                <w:lang w:bidi="ar"/>
              </w:rPr>
              <w:t>1</w:t>
            </w:r>
            <w:r>
              <w:rPr>
                <w:rFonts w:hint="eastAsia" w:ascii="宋体" w:hAnsi="宋体" w:cs="宋体"/>
                <w:color w:val="000000"/>
                <w:kern w:val="0"/>
                <w:sz w:val="24"/>
                <w:szCs w:val="24"/>
                <w:lang w:bidi="ar"/>
              </w:rPr>
              <w:t xml:space="preserve"> 月</w:t>
            </w:r>
            <w:r>
              <w:rPr>
                <w:rFonts w:ascii="宋体" w:hAnsi="宋体" w:cs="宋体"/>
                <w:color w:val="000000"/>
                <w:kern w:val="0"/>
                <w:sz w:val="24"/>
                <w:szCs w:val="24"/>
                <w:lang w:bidi="ar"/>
              </w:rPr>
              <w:t>20</w:t>
            </w:r>
            <w:r>
              <w:rPr>
                <w:rFonts w:hint="eastAsia" w:ascii="宋体" w:hAnsi="宋体" w:cs="宋体"/>
                <w:color w:val="000000"/>
                <w:kern w:val="0"/>
                <w:sz w:val="24"/>
                <w:szCs w:val="24"/>
                <w:lang w:bidi="ar"/>
              </w:rPr>
              <w:t>日</w:t>
            </w:r>
          </w:p>
        </w:tc>
      </w:tr>
      <w:tr w14:paraId="08330BEB">
        <w:tblPrEx>
          <w:tblCellMar>
            <w:top w:w="0" w:type="dxa"/>
            <w:left w:w="0" w:type="dxa"/>
            <w:bottom w:w="0" w:type="dxa"/>
            <w:right w:w="0" w:type="dxa"/>
          </w:tblCellMar>
        </w:tblPrEx>
        <w:trPr>
          <w:trHeight w:val="725"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DB68FC">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序号</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75C2C">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抽查事项名称</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7C88C">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抽查依据</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55E0D">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抽查主体</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60598">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抽查内容</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116F23">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抽查方式</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1602A">
            <w:pPr>
              <w:widowControl/>
              <w:jc w:val="center"/>
              <w:textAlignment w:val="center"/>
              <w:rPr>
                <w:rFonts w:ascii="黑体" w:hAnsi="宋体" w:eastAsia="黑体" w:cs="黑体"/>
                <w:color w:val="000000"/>
                <w:sz w:val="24"/>
                <w:szCs w:val="24"/>
              </w:rPr>
            </w:pPr>
            <w:r>
              <w:rPr>
                <w:rFonts w:hint="eastAsia" w:ascii="黑体" w:hAnsi="宋体" w:eastAsia="黑体" w:cs="黑体"/>
                <w:color w:val="000000"/>
                <w:kern w:val="0"/>
                <w:sz w:val="24"/>
                <w:szCs w:val="24"/>
                <w:lang w:bidi="ar"/>
              </w:rPr>
              <w:t>备  注</w:t>
            </w:r>
          </w:p>
        </w:tc>
      </w:tr>
      <w:tr w14:paraId="1EC877FE">
        <w:tblPrEx>
          <w:tblCellMar>
            <w:top w:w="0" w:type="dxa"/>
            <w:left w:w="0" w:type="dxa"/>
            <w:bottom w:w="0" w:type="dxa"/>
            <w:right w:w="0" w:type="dxa"/>
          </w:tblCellMar>
        </w:tblPrEx>
        <w:trPr>
          <w:trHeight w:val="439"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CF5FD">
            <w:pPr>
              <w:rPr>
                <w:rFonts w:ascii="宋体" w:hAnsi="宋体" w:cs="宋体"/>
                <w:color w:val="000000"/>
                <w:sz w:val="24"/>
                <w:szCs w:val="24"/>
              </w:rPr>
            </w:pPr>
            <w:r>
              <w:rPr>
                <w:rFonts w:hint="eastAsia" w:ascii="宋体" w:hAnsi="宋体" w:cs="宋体"/>
                <w:color w:val="000000"/>
                <w:sz w:val="24"/>
                <w:szCs w:val="24"/>
              </w:rPr>
              <w:t>1</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5A68D">
            <w:pPr>
              <w:rPr>
                <w:rFonts w:ascii="宋体" w:hAnsi="宋体" w:cs="宋体"/>
                <w:color w:val="000000"/>
                <w:sz w:val="24"/>
                <w:szCs w:val="24"/>
              </w:rPr>
            </w:pPr>
            <w:r>
              <w:rPr>
                <w:rFonts w:hint="eastAsia" w:ascii="宋体" w:hAnsi="宋体" w:cs="宋体"/>
                <w:color w:val="000000"/>
                <w:sz w:val="24"/>
                <w:szCs w:val="24"/>
              </w:rPr>
              <w:t>对企业实行不定时工时制和综合计算工作制情况的行政检查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E35F8A">
            <w:pPr>
              <w:rPr>
                <w:rFonts w:ascii="宋体" w:hAnsi="宋体" w:cs="宋体"/>
                <w:color w:val="000000"/>
                <w:sz w:val="24"/>
                <w:szCs w:val="24"/>
              </w:rPr>
            </w:pPr>
            <w:r>
              <w:rPr>
                <w:rFonts w:hint="eastAsia" w:ascii="宋体" w:hAnsi="宋体" w:cs="宋体"/>
                <w:color w:val="000000"/>
                <w:sz w:val="24"/>
                <w:szCs w:val="24"/>
              </w:rPr>
              <w:t>1.《中华人民共和国劳动法》（中华人民共和国主席令第二十八号）第三十九条：“企业因生产特点不能实行本法第三十六条、第三十八条规定的，经劳动行政部门批准，可以实行其他工作和休息办法”。2.《国务院关于职工工作时间的规定》（中华人民共和国国务院令第146号，1995年3月25日修订）第五条：“因工作性质或者生产特点的限制，不能实行每日工作8小时、每周工作40小时标准工时制度的，按照国家有关规定，可以实行其他工作和休息办法”。3.《关于企业实行不定时工作制和综合计算工时工作制的审批办法》（劳部发[1994]503号）全文。</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515C3">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6406EA">
            <w:pPr>
              <w:pStyle w:val="8"/>
              <w:numPr>
                <w:ilvl w:val="0"/>
                <w:numId w:val="1"/>
              </w:numPr>
              <w:ind w:firstLineChars="0"/>
              <w:rPr>
                <w:rFonts w:ascii="宋体" w:hAnsi="宋体" w:cs="宋体"/>
                <w:color w:val="000000"/>
                <w:sz w:val="24"/>
                <w:szCs w:val="24"/>
              </w:rPr>
            </w:pPr>
            <w:r>
              <w:rPr>
                <w:rFonts w:hint="eastAsia" w:ascii="宋体" w:hAnsi="宋体" w:cs="宋体"/>
                <w:color w:val="000000"/>
                <w:sz w:val="24"/>
                <w:szCs w:val="24"/>
              </w:rPr>
              <w:t>检查企业经人力资源社会保障行政部门审批的《企业实行不定时工作制或综合计算工时工作制申请表》</w:t>
            </w:r>
          </w:p>
          <w:p w14:paraId="37212288">
            <w:pPr>
              <w:pStyle w:val="8"/>
              <w:numPr>
                <w:ilvl w:val="0"/>
                <w:numId w:val="1"/>
              </w:numPr>
              <w:ind w:firstLineChars="0"/>
              <w:rPr>
                <w:rFonts w:ascii="宋体" w:hAnsi="宋体" w:cs="宋体"/>
                <w:color w:val="000000"/>
                <w:sz w:val="24"/>
                <w:szCs w:val="24"/>
              </w:rPr>
            </w:pPr>
            <w:r>
              <w:rPr>
                <w:rFonts w:hint="eastAsia" w:ascii="宋体" w:hAnsi="宋体" w:cs="宋体"/>
                <w:color w:val="000000"/>
                <w:sz w:val="24"/>
                <w:szCs w:val="24"/>
              </w:rPr>
              <w:t>检查企业经批准实行不定时工作制和综合计算工时工作制后，是否依法贯彻落实，保障职工合法权益</w:t>
            </w:r>
          </w:p>
          <w:p w14:paraId="78B0B181">
            <w:pPr>
              <w:pStyle w:val="8"/>
              <w:ind w:left="360" w:firstLine="0" w:firstLineChars="0"/>
              <w:rPr>
                <w:rFonts w:ascii="宋体" w:hAnsi="宋体" w:cs="宋体"/>
                <w:color w:val="000000"/>
                <w:sz w:val="24"/>
                <w:szCs w:val="24"/>
              </w:rPr>
            </w:pP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968FA2">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17BE">
            <w:pPr>
              <w:rPr>
                <w:rFonts w:ascii="宋体" w:hAnsi="宋体" w:cs="宋体"/>
                <w:color w:val="000000"/>
                <w:sz w:val="24"/>
                <w:szCs w:val="24"/>
              </w:rPr>
            </w:pPr>
          </w:p>
        </w:tc>
      </w:tr>
      <w:tr w14:paraId="6B7F0324">
        <w:tblPrEx>
          <w:tblCellMar>
            <w:top w:w="0" w:type="dxa"/>
            <w:left w:w="0" w:type="dxa"/>
            <w:bottom w:w="0" w:type="dxa"/>
            <w:right w:w="0" w:type="dxa"/>
          </w:tblCellMar>
        </w:tblPrEx>
        <w:trPr>
          <w:trHeight w:val="415"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005F2">
            <w:pPr>
              <w:rPr>
                <w:rFonts w:ascii="宋体" w:hAnsi="宋体" w:cs="宋体"/>
                <w:color w:val="000000"/>
                <w:sz w:val="24"/>
                <w:szCs w:val="24"/>
              </w:rPr>
            </w:pPr>
            <w:r>
              <w:rPr>
                <w:rFonts w:hint="eastAsia" w:ascii="宋体" w:hAnsi="宋体" w:cs="宋体"/>
                <w:color w:val="000000"/>
                <w:sz w:val="24"/>
                <w:szCs w:val="24"/>
              </w:rPr>
              <w:t>2</w:t>
            </w:r>
            <w:r>
              <w:rPr>
                <w:rFonts w:ascii="宋体" w:hAnsi="宋体" w:cs="宋体"/>
                <w:color w:val="000000"/>
                <w:sz w:val="24"/>
                <w:szCs w:val="24"/>
              </w:rPr>
              <w:t>.</w:t>
            </w:r>
            <w:r>
              <w:rPr>
                <w:rFonts w:hint="eastAsia"/>
              </w:rPr>
              <w:t xml:space="preserve"> </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0D101">
            <w:pPr>
              <w:rPr>
                <w:rFonts w:ascii="宋体" w:hAnsi="宋体" w:cs="宋体"/>
                <w:color w:val="000000"/>
                <w:sz w:val="24"/>
                <w:szCs w:val="24"/>
              </w:rPr>
            </w:pPr>
            <w:r>
              <w:rPr>
                <w:rFonts w:hint="eastAsia" w:ascii="宋体" w:hAnsi="宋体" w:cs="宋体"/>
                <w:color w:val="000000"/>
                <w:sz w:val="24"/>
                <w:szCs w:val="24"/>
              </w:rPr>
              <w:t>对性人力资源服务机构从事职业中介活动的行政检查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F0721">
            <w:pPr>
              <w:rPr>
                <w:rFonts w:ascii="宋体" w:hAnsi="宋体" w:cs="宋体"/>
                <w:color w:val="000000"/>
                <w:sz w:val="24"/>
                <w:szCs w:val="24"/>
              </w:rPr>
            </w:pPr>
            <w:r>
              <w:rPr>
                <w:rFonts w:hint="eastAsia" w:ascii="宋体" w:hAnsi="宋体" w:cs="宋体"/>
                <w:color w:val="000000"/>
                <w:sz w:val="24"/>
                <w:szCs w:val="24"/>
              </w:rPr>
              <w:t>1.《中华人民共和国就业促进法》第六十条规定：劳动行政部门应当对本法实施情况进行监督检查，建立举报制度，受理对违反本法行为的举报，并及时予以核实、处理；2.《人力资源市场暂行条例》（国务院令第700号）第34条规定：人力资源社会保障行政部门对经营性人力资源服务机构实施监督检查，可以采取下列措施：（一）进入被检查单位进行检查；（二）询问有关人员，查阅服务台账等服务信息档案；（三）要求被检查单位提供与检查事项相关的文件资料，并作出解释和说明；（四）采取记录、录音、录像、照相或者复制等方式收集有关情况和资料；（五）法律、法规规定的其他措施。</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8148E4">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76FD3">
            <w:pPr>
              <w:pStyle w:val="8"/>
              <w:numPr>
                <w:ilvl w:val="0"/>
                <w:numId w:val="2"/>
              </w:numPr>
              <w:ind w:firstLineChars="0"/>
              <w:rPr>
                <w:rFonts w:ascii="宋体" w:hAnsi="宋体" w:cs="宋体"/>
                <w:color w:val="000000"/>
                <w:sz w:val="24"/>
                <w:szCs w:val="24"/>
              </w:rPr>
            </w:pPr>
            <w:r>
              <w:rPr>
                <w:rFonts w:hint="eastAsia" w:ascii="宋体" w:hAnsi="宋体" w:cs="宋体"/>
                <w:color w:val="000000"/>
                <w:sz w:val="24"/>
                <w:szCs w:val="24"/>
              </w:rPr>
              <w:t>核查是否在服务场所明示了营业执照、服务项目、收费标准、监督机关和监督电话，人力资源服务许可证；核查是否建立健全内部制度，保存服务台账。</w:t>
            </w:r>
          </w:p>
          <w:p w14:paraId="2ED62CBE">
            <w:pPr>
              <w:pStyle w:val="8"/>
              <w:numPr>
                <w:ilvl w:val="0"/>
                <w:numId w:val="2"/>
              </w:numPr>
              <w:ind w:firstLineChars="0"/>
              <w:rPr>
                <w:rFonts w:ascii="宋体" w:hAnsi="宋体" w:cs="宋体"/>
                <w:color w:val="000000"/>
                <w:sz w:val="24"/>
                <w:szCs w:val="24"/>
              </w:rPr>
            </w:pPr>
            <w:r>
              <w:rPr>
                <w:rFonts w:hint="eastAsia" w:ascii="宋体" w:hAnsi="宋体" w:cs="宋体"/>
                <w:color w:val="000000"/>
                <w:sz w:val="24"/>
                <w:szCs w:val="24"/>
              </w:rPr>
              <w:t>核查是否有人力资源服务许可，是否经允许开展业务；核查许可是否在有效期内；核查实际经营场所、法人代表（负责人）信息是否与许可证上登记的一致；</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F4DA9">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34806">
            <w:pPr>
              <w:rPr>
                <w:rFonts w:ascii="宋体" w:hAnsi="宋体" w:cs="宋体"/>
                <w:color w:val="000000"/>
                <w:sz w:val="24"/>
                <w:szCs w:val="24"/>
              </w:rPr>
            </w:pPr>
          </w:p>
        </w:tc>
      </w:tr>
      <w:tr w14:paraId="47A0E068">
        <w:tblPrEx>
          <w:tblCellMar>
            <w:top w:w="0" w:type="dxa"/>
            <w:left w:w="0" w:type="dxa"/>
            <w:bottom w:w="0" w:type="dxa"/>
            <w:right w:w="0" w:type="dxa"/>
          </w:tblCellMar>
        </w:tblPrEx>
        <w:trPr>
          <w:trHeight w:val="415"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86AAD">
            <w:pPr>
              <w:rPr>
                <w:rFonts w:ascii="宋体" w:hAnsi="宋体" w:cs="宋体"/>
                <w:color w:val="000000"/>
                <w:sz w:val="24"/>
                <w:szCs w:val="24"/>
              </w:rPr>
            </w:pPr>
            <w:r>
              <w:rPr>
                <w:rFonts w:hint="eastAsia" w:ascii="宋体" w:hAnsi="宋体" w:cs="宋体"/>
                <w:color w:val="000000"/>
                <w:sz w:val="24"/>
                <w:szCs w:val="24"/>
              </w:rPr>
              <w:t>3</w:t>
            </w:r>
            <w:r>
              <w:rPr>
                <w:rFonts w:ascii="宋体" w:hAnsi="宋体" w:cs="宋体"/>
                <w:color w:val="000000"/>
                <w:sz w:val="24"/>
                <w:szCs w:val="24"/>
              </w:rPr>
              <w:t>.</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12639">
            <w:pPr>
              <w:rPr>
                <w:rFonts w:ascii="宋体" w:hAnsi="宋体" w:cs="宋体"/>
                <w:color w:val="000000"/>
                <w:sz w:val="24"/>
                <w:szCs w:val="24"/>
              </w:rPr>
            </w:pPr>
            <w:r>
              <w:rPr>
                <w:rFonts w:hint="eastAsia" w:ascii="宋体" w:hAnsi="宋体" w:cs="宋体"/>
                <w:color w:val="000000"/>
                <w:sz w:val="24"/>
                <w:szCs w:val="24"/>
              </w:rPr>
              <w:t>对经营性人力资源服务机构设立分支机构、办理变更或注销登记情况的行政检查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F4151A">
            <w:pPr>
              <w:rPr>
                <w:rFonts w:ascii="宋体" w:hAnsi="宋体" w:cs="宋体"/>
                <w:color w:val="000000"/>
                <w:sz w:val="24"/>
                <w:szCs w:val="24"/>
              </w:rPr>
            </w:pPr>
            <w:r>
              <w:rPr>
                <w:rFonts w:hint="eastAsia" w:ascii="宋体" w:hAnsi="宋体" w:cs="宋体"/>
                <w:color w:val="000000"/>
                <w:sz w:val="24"/>
                <w:szCs w:val="24"/>
              </w:rPr>
              <w:t>《人力资源市场暂行条例》第四十二条：“违反本条例第十八条第一款规定，未经许可擅自从事职业中介活动的，由人力资源社会保障行政部门予以关闭或者责令停止从事职业中介活动；有违法所得的，没收违法所得，并处1万元以上5万元以下的罚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DA605C">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0F598">
            <w:pPr>
              <w:pStyle w:val="8"/>
              <w:numPr>
                <w:ilvl w:val="0"/>
                <w:numId w:val="3"/>
              </w:numPr>
              <w:ind w:firstLineChars="0"/>
            </w:pPr>
            <w:r>
              <w:rPr>
                <w:rFonts w:hint="eastAsia"/>
              </w:rPr>
              <w:t>核查是否设立了分支机构；核查设立的分支机构是否备案；核查备案信息是否与实际情况相一致；核查分支机构是否在服务场所明示了营业执照、服务项目、收费标准、监督机关和监督电话、人力资源服务许可证（如有）；核查分支机构是否建立健全内部制度、保存服务台账。</w:t>
            </w:r>
          </w:p>
          <w:p w14:paraId="70AF820F">
            <w:pPr>
              <w:pStyle w:val="8"/>
              <w:numPr>
                <w:ilvl w:val="0"/>
                <w:numId w:val="3"/>
              </w:numPr>
              <w:ind w:firstLineChars="0"/>
              <w:rPr>
                <w:rFonts w:ascii="宋体" w:hAnsi="宋体" w:cs="宋体"/>
                <w:color w:val="000000"/>
                <w:sz w:val="24"/>
                <w:szCs w:val="24"/>
              </w:rPr>
            </w:pPr>
            <w:r>
              <w:rPr>
                <w:rFonts w:hint="eastAsia" w:ascii="宋体" w:hAnsi="宋体" w:cs="宋体"/>
                <w:color w:val="000000"/>
                <w:sz w:val="24"/>
                <w:szCs w:val="24"/>
              </w:rPr>
              <w:t>核查人力资源服务机构变更名称、住所、法定代表人或者终止经营活动是否自工商变更登记或者注销登记办理完毕之日起15日内书面报告。</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D7515">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17561">
            <w:pPr>
              <w:rPr>
                <w:rFonts w:ascii="宋体" w:hAnsi="宋体" w:cs="宋体"/>
                <w:color w:val="000000"/>
                <w:sz w:val="24"/>
                <w:szCs w:val="24"/>
              </w:rPr>
            </w:pPr>
          </w:p>
        </w:tc>
      </w:tr>
      <w:tr w14:paraId="3AB95F32">
        <w:tblPrEx>
          <w:tblCellMar>
            <w:top w:w="0" w:type="dxa"/>
            <w:left w:w="0" w:type="dxa"/>
            <w:bottom w:w="0" w:type="dxa"/>
            <w:right w:w="0" w:type="dxa"/>
          </w:tblCellMar>
        </w:tblPrEx>
        <w:trPr>
          <w:trHeight w:val="426"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CDCB47">
            <w:pPr>
              <w:rPr>
                <w:rFonts w:ascii="宋体" w:hAnsi="宋体" w:cs="宋体"/>
                <w:color w:val="000000"/>
                <w:sz w:val="24"/>
                <w:szCs w:val="24"/>
              </w:rPr>
            </w:pPr>
            <w:r>
              <w:rPr>
                <w:rFonts w:hint="eastAsia" w:ascii="宋体" w:hAnsi="宋体" w:cs="宋体"/>
                <w:color w:val="000000"/>
                <w:sz w:val="24"/>
                <w:szCs w:val="24"/>
              </w:rPr>
              <w:t>4</w:t>
            </w:r>
            <w:r>
              <w:rPr>
                <w:rFonts w:ascii="宋体" w:hAnsi="宋体" w:cs="宋体"/>
                <w:color w:val="000000"/>
                <w:sz w:val="24"/>
                <w:szCs w:val="24"/>
              </w:rPr>
              <w:t>.</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C1FEF">
            <w:pPr>
              <w:rPr>
                <w:rFonts w:ascii="宋体" w:hAnsi="宋体" w:cs="宋体"/>
                <w:color w:val="000000"/>
                <w:sz w:val="24"/>
                <w:szCs w:val="24"/>
              </w:rPr>
            </w:pPr>
            <w:r>
              <w:rPr>
                <w:rFonts w:hint="eastAsia" w:ascii="宋体" w:hAnsi="宋体" w:cs="宋体"/>
                <w:color w:val="000000"/>
                <w:sz w:val="24"/>
                <w:szCs w:val="24"/>
              </w:rPr>
              <w:t>对经营性人力资源服务机构从事特定业务的行政检查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1F60F">
            <w:pPr>
              <w:rPr>
                <w:rFonts w:ascii="宋体" w:hAnsi="宋体" w:cs="宋体"/>
                <w:color w:val="000000"/>
                <w:sz w:val="24"/>
                <w:szCs w:val="24"/>
              </w:rPr>
            </w:pPr>
            <w:r>
              <w:rPr>
                <w:rFonts w:hint="eastAsia" w:ascii="宋体" w:hAnsi="宋体" w:cs="宋体"/>
                <w:color w:val="000000"/>
                <w:sz w:val="24"/>
                <w:szCs w:val="24"/>
              </w:rPr>
              <w:t>《人力资源市场暂行条例》第四十二条：“违反本条例第十八条第一款规定，未经许可擅自从事职业中介活动的，由人力资源社会保障行政部门予以关闭或者责令停止从事职业中介活动；有违法所得的，没收违法所得，并处1万元以上5万元以下的罚款。违反本条例第十八条第二款规定，开展人力资源服务业务未备案，违反本条例第二十条、第二十一条规定，设立分支机构、办理变更或者注销登记未书面报告的，由人力资源社会保障行政部门责令改正；拒不改正的，处5000元以上1万元以下的罚款。”</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296CF2">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457568">
            <w:pPr>
              <w:rPr>
                <w:rFonts w:ascii="宋体" w:hAnsi="宋体" w:cs="宋体"/>
                <w:color w:val="000000"/>
                <w:sz w:val="24"/>
                <w:szCs w:val="24"/>
              </w:rPr>
            </w:pPr>
            <w:r>
              <w:rPr>
                <w:rFonts w:hint="eastAsia" w:ascii="宋体" w:hAnsi="宋体" w:cs="宋体"/>
                <w:color w:val="000000"/>
                <w:sz w:val="24"/>
                <w:szCs w:val="24"/>
              </w:rPr>
              <w:t>核查开展人力资源供求信息的收集和发布、就业和创业指导、人力资源管理咨询、人力资源测评、人力资源培训、承接人力资源服务外包等人力资源服务业务是否备案；核查备案信息是否与实际情况一致；核查是否在服务场所明示了营业执照、服务项目、收费标准、监督机关和监督电话；核查是否建立健全内部制度、保存服务台账。</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5C311">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092411">
            <w:pPr>
              <w:rPr>
                <w:rFonts w:ascii="宋体" w:hAnsi="宋体" w:cs="宋体"/>
                <w:color w:val="000000"/>
                <w:sz w:val="24"/>
                <w:szCs w:val="24"/>
              </w:rPr>
            </w:pPr>
          </w:p>
        </w:tc>
      </w:tr>
      <w:tr w14:paraId="26314BF0">
        <w:tblPrEx>
          <w:tblCellMar>
            <w:top w:w="0" w:type="dxa"/>
            <w:left w:w="0" w:type="dxa"/>
            <w:bottom w:w="0" w:type="dxa"/>
            <w:right w:w="0" w:type="dxa"/>
          </w:tblCellMar>
        </w:tblPrEx>
        <w:trPr>
          <w:trHeight w:val="426"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FBFE0">
            <w:pPr>
              <w:rPr>
                <w:rFonts w:ascii="宋体" w:hAnsi="宋体" w:cs="宋体"/>
                <w:color w:val="000000"/>
                <w:sz w:val="24"/>
                <w:szCs w:val="24"/>
              </w:rPr>
            </w:pPr>
            <w:r>
              <w:rPr>
                <w:rFonts w:hint="eastAsia" w:ascii="宋体" w:hAnsi="宋体" w:cs="宋体"/>
                <w:color w:val="000000"/>
                <w:sz w:val="24"/>
                <w:szCs w:val="24"/>
              </w:rPr>
              <w:t>5</w:t>
            </w:r>
            <w:r>
              <w:rPr>
                <w:rFonts w:ascii="宋体" w:hAnsi="宋体" w:cs="宋体"/>
                <w:color w:val="000000"/>
                <w:sz w:val="24"/>
                <w:szCs w:val="24"/>
              </w:rPr>
              <w:t>.</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0D629">
            <w:pPr>
              <w:rPr>
                <w:rFonts w:ascii="宋体" w:hAnsi="宋体" w:cs="宋体"/>
                <w:color w:val="000000"/>
                <w:sz w:val="24"/>
                <w:szCs w:val="24"/>
              </w:rPr>
            </w:pPr>
            <w:r>
              <w:rPr>
                <w:rFonts w:hint="eastAsia" w:ascii="宋体" w:hAnsi="宋体" w:cs="宋体"/>
                <w:color w:val="000000"/>
                <w:sz w:val="24"/>
                <w:szCs w:val="24"/>
              </w:rPr>
              <w:t>对经营劳务派遣业务违规行为的行政检查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497F2">
            <w:pPr>
              <w:rPr>
                <w:rFonts w:ascii="宋体" w:hAnsi="宋体" w:cs="宋体"/>
                <w:color w:val="000000"/>
                <w:sz w:val="24"/>
                <w:szCs w:val="24"/>
              </w:rPr>
            </w:pPr>
            <w:r>
              <w:rPr>
                <w:rFonts w:hint="eastAsia" w:ascii="宋体" w:hAnsi="宋体" w:cs="宋体"/>
                <w:color w:val="000000"/>
                <w:sz w:val="24"/>
                <w:szCs w:val="24"/>
              </w:rPr>
              <w:t>《中华人民共和</w:t>
            </w:r>
            <w:r>
              <w:rPr>
                <w:rFonts w:hint="eastAsia" w:ascii="宋体" w:hAnsi="宋体" w:cs="宋体"/>
                <w:color w:val="000000"/>
                <w:sz w:val="24"/>
                <w:szCs w:val="24"/>
                <w:lang w:val="en-US" w:eastAsia="zh-CN"/>
              </w:rPr>
              <w:t>国</w:t>
            </w:r>
            <w:bookmarkStart w:id="1" w:name="_GoBack"/>
            <w:bookmarkEnd w:id="1"/>
            <w:r>
              <w:rPr>
                <w:rFonts w:hint="eastAsia" w:ascii="宋体" w:hAnsi="宋体" w:cs="宋体"/>
                <w:color w:val="000000"/>
                <w:sz w:val="24"/>
                <w:szCs w:val="24"/>
              </w:rPr>
              <w:t>劳动合同法》第五十七条：“经营劳务派遣业务应当具备下列条件：（一）注册资本不得少于人民币二百万元；（二）有与开展业务相适应的固定的经营场所和设施；（三）有符合法律、行政法规规定的劳务派遣管理制度；（四）法律、行政法规规定的其他条件。经营劳务派遣业务，应当向劳动行政部门依法申请行政许可；经许可的，依法办理相应的公司登记。未经许可，任何单位和个人不得经营劳务派遣业务。”</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5E979">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4C6BA">
            <w:pPr>
              <w:pStyle w:val="8"/>
              <w:numPr>
                <w:ilvl w:val="0"/>
                <w:numId w:val="4"/>
              </w:numPr>
              <w:ind w:firstLineChars="0"/>
              <w:rPr>
                <w:rFonts w:ascii="宋体" w:hAnsi="宋体" w:cs="宋体"/>
                <w:color w:val="000000"/>
                <w:sz w:val="24"/>
                <w:szCs w:val="24"/>
              </w:rPr>
            </w:pPr>
            <w:r>
              <w:rPr>
                <w:rFonts w:hint="eastAsia" w:ascii="宋体" w:hAnsi="宋体" w:cs="宋体"/>
                <w:color w:val="000000"/>
                <w:sz w:val="24"/>
                <w:szCs w:val="24"/>
              </w:rPr>
              <w:t>检查劳务派遣单位是否取得有效劳务派遣许可进行经营；核查劳务派遣经营许可证是否在有效期内；依法与劳动者签订劳动合同、参加社会保险及工资支付情况；依法提交年度经营情况报告的情况；核查实际经营场所与劳务派遣经营许可证上登记的地址是否一致等。</w:t>
            </w:r>
          </w:p>
          <w:p w14:paraId="748A702A">
            <w:pPr>
              <w:pStyle w:val="8"/>
              <w:numPr>
                <w:ilvl w:val="0"/>
                <w:numId w:val="4"/>
              </w:numPr>
              <w:ind w:firstLineChars="0"/>
              <w:rPr>
                <w:rFonts w:ascii="宋体" w:hAnsi="宋体" w:cs="宋体"/>
                <w:color w:val="000000"/>
                <w:sz w:val="24"/>
                <w:szCs w:val="24"/>
              </w:rPr>
            </w:pPr>
            <w:r>
              <w:rPr>
                <w:rFonts w:hint="eastAsia" w:ascii="宋体" w:hAnsi="宋体" w:cs="宋体"/>
                <w:color w:val="000000"/>
                <w:sz w:val="24"/>
                <w:szCs w:val="24"/>
              </w:rPr>
              <w:t>确定“三性”岗位的民主程序、内部公示情况；使用劳务派遣的数量及用工比例情况；劳务派遣劳动者工作时间及休息休假等情况；</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FDF7B6">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14F615">
            <w:pPr>
              <w:rPr>
                <w:rFonts w:ascii="宋体" w:hAnsi="宋体" w:cs="宋体"/>
                <w:color w:val="000000"/>
                <w:sz w:val="24"/>
                <w:szCs w:val="24"/>
              </w:rPr>
            </w:pPr>
          </w:p>
        </w:tc>
      </w:tr>
      <w:tr w14:paraId="0EA97CE4">
        <w:tblPrEx>
          <w:tblCellMar>
            <w:top w:w="0" w:type="dxa"/>
            <w:left w:w="0" w:type="dxa"/>
            <w:bottom w:w="0" w:type="dxa"/>
            <w:right w:w="0" w:type="dxa"/>
          </w:tblCellMar>
        </w:tblPrEx>
        <w:trPr>
          <w:trHeight w:val="426" w:hRule="atLeast"/>
        </w:trPr>
        <w:tc>
          <w:tcPr>
            <w:tcW w:w="4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C1C033">
            <w:pPr>
              <w:rPr>
                <w:rFonts w:ascii="宋体" w:hAnsi="宋体" w:cs="宋体"/>
                <w:color w:val="000000"/>
                <w:sz w:val="24"/>
                <w:szCs w:val="24"/>
              </w:rPr>
            </w:pPr>
            <w:r>
              <w:rPr>
                <w:rFonts w:hint="eastAsia" w:ascii="宋体" w:hAnsi="宋体" w:cs="宋体"/>
                <w:color w:val="000000"/>
                <w:sz w:val="24"/>
                <w:szCs w:val="24"/>
              </w:rPr>
              <w:t>6</w:t>
            </w:r>
            <w:r>
              <w:rPr>
                <w:rFonts w:ascii="宋体" w:hAnsi="宋体" w:cs="宋体"/>
                <w:color w:val="000000"/>
                <w:sz w:val="24"/>
                <w:szCs w:val="24"/>
              </w:rPr>
              <w:t>.</w:t>
            </w:r>
          </w:p>
        </w:tc>
        <w:tc>
          <w:tcPr>
            <w:tcW w:w="25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F75106">
            <w:pPr>
              <w:rPr>
                <w:rFonts w:ascii="宋体" w:hAnsi="宋体" w:cs="宋体"/>
                <w:color w:val="000000"/>
                <w:sz w:val="24"/>
                <w:szCs w:val="24"/>
              </w:rPr>
            </w:pPr>
            <w:r>
              <w:rPr>
                <w:rFonts w:hint="eastAsia" w:ascii="宋体" w:hAnsi="宋体" w:cs="宋体"/>
                <w:color w:val="000000"/>
                <w:sz w:val="24"/>
                <w:szCs w:val="24"/>
              </w:rPr>
              <w:t>对民办职业培训学校（项目）设立、分立、合并、变更及终止违规行为的行政检查</w:t>
            </w:r>
          </w:p>
        </w:tc>
        <w:tc>
          <w:tcPr>
            <w:tcW w:w="29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AF7521">
            <w:pPr>
              <w:rPr>
                <w:rFonts w:ascii="宋体" w:hAnsi="宋体" w:cs="宋体"/>
                <w:color w:val="000000"/>
                <w:sz w:val="24"/>
                <w:szCs w:val="24"/>
              </w:rPr>
            </w:pPr>
            <w:r>
              <w:rPr>
                <w:rFonts w:hint="eastAsia" w:ascii="宋体" w:hAnsi="宋体" w:cs="宋体"/>
                <w:color w:val="000000"/>
                <w:sz w:val="24"/>
                <w:szCs w:val="24"/>
              </w:rPr>
              <w:t>《中华人民共和国民办教育促进法》（2002年12月28日主席令第80号，2013年6月29日予以修改）第十一条：……举办实施以职业技能为主的职业资格培训、职业技能培训的民办学校，由县级以上人民政府劳动和社会保障行政部门按照国家规定的权限审批，并抄送同级教育行政部门备案。第五十三条：民办学校的分立、合并，在进行财务清算后，由学校理事会或者董事会报审批机关批准。第五十四条：民办学校举办者的变更，须由举办者提出，在进行财务清算后，经学校理事会或者董事会同意，报审批机关核准。第五十五条：民办学校名称、层次、类别的变更，由学校理事会或者董事会报审批机关批准。规范性管理财务管理相关规定</w:t>
            </w:r>
          </w:p>
          <w:p w14:paraId="54EC2D9E">
            <w:pPr>
              <w:rPr>
                <w:rFonts w:ascii="宋体" w:hAnsi="宋体" w:cs="宋体"/>
                <w:color w:val="000000"/>
                <w:sz w:val="24"/>
                <w:szCs w:val="24"/>
              </w:rPr>
            </w:pPr>
            <w:r>
              <w:rPr>
                <w:rFonts w:hint="eastAsia" w:ascii="宋体" w:hAnsi="宋体" w:cs="宋体"/>
                <w:color w:val="000000"/>
                <w:sz w:val="24"/>
                <w:szCs w:val="24"/>
              </w:rPr>
              <w:t>法律法规相关规定</w:t>
            </w:r>
          </w:p>
        </w:tc>
        <w:tc>
          <w:tcPr>
            <w:tcW w:w="19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9EE975">
            <w:pPr>
              <w:rPr>
                <w:rFonts w:ascii="宋体" w:hAnsi="宋体" w:cs="宋体"/>
                <w:color w:val="000000"/>
                <w:sz w:val="24"/>
                <w:szCs w:val="24"/>
              </w:rPr>
            </w:pPr>
            <w:r>
              <w:rPr>
                <w:rFonts w:hint="eastAsia" w:ascii="宋体" w:hAnsi="宋体" w:cs="宋体"/>
                <w:color w:val="000000"/>
                <w:sz w:val="24"/>
                <w:szCs w:val="24"/>
              </w:rPr>
              <w:t>四平市双辽市劳动监察大队</w:t>
            </w:r>
          </w:p>
        </w:tc>
        <w:tc>
          <w:tcPr>
            <w:tcW w:w="20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713DE">
            <w:pPr>
              <w:pStyle w:val="8"/>
              <w:numPr>
                <w:ilvl w:val="0"/>
                <w:numId w:val="5"/>
              </w:numPr>
              <w:ind w:firstLineChars="0"/>
              <w:rPr>
                <w:rFonts w:ascii="宋体" w:hAnsi="宋体" w:cs="宋体"/>
                <w:color w:val="000000"/>
                <w:sz w:val="24"/>
                <w:szCs w:val="24"/>
              </w:rPr>
            </w:pPr>
            <w:r>
              <w:rPr>
                <w:rFonts w:hint="eastAsia" w:ascii="宋体" w:hAnsi="宋体" w:cs="宋体"/>
                <w:color w:val="000000"/>
                <w:sz w:val="24"/>
                <w:szCs w:val="24"/>
              </w:rPr>
              <w:t>学校教学管理、教师管理、学生管理、财务管理、卫生安全管理和设备管理等制度是否健全；消防检查意见书是否为合格；是否制定了突发事件处理预案；发布招生广告和简章时是否使用审批机关标准的规范校名；招生广告和简章内容与报审批机关备案的内容是否一致且真实。《民办学校办学许可证》、《民办非企业法人登记证》、《收费许可证》、《组织机构代码证》、《税务登记证》、收费项目和标准等是否齐全并按要求悬挂。</w:t>
            </w:r>
          </w:p>
          <w:p w14:paraId="25112375">
            <w:pPr>
              <w:pStyle w:val="8"/>
              <w:numPr>
                <w:ilvl w:val="0"/>
                <w:numId w:val="5"/>
              </w:numPr>
              <w:ind w:firstLineChars="0"/>
              <w:rPr>
                <w:rFonts w:ascii="宋体" w:hAnsi="宋体" w:cs="宋体"/>
                <w:color w:val="000000"/>
                <w:sz w:val="24"/>
                <w:szCs w:val="24"/>
              </w:rPr>
            </w:pPr>
            <w:r>
              <w:rPr>
                <w:rFonts w:hint="eastAsia" w:ascii="宋体" w:hAnsi="宋体" w:cs="宋体"/>
                <w:color w:val="000000"/>
                <w:sz w:val="24"/>
                <w:szCs w:val="24"/>
              </w:rPr>
              <w:t>教师花名册、教师登记表、聘用合同（劳动合同）、身份证复印件、学历证明复印件等材料是否齐全；教学计划、大纲、教材是否齐全且符合规定；年度培训情况汇总表、办班通知、学员名册、考勤表、课程表、教师讲义、教师评估表、考试成绩表、培训班总结等材料是否齐全；学员登记表、身份证复印件、学历证书复印件、学校自考试卷、实际能力考核表、补考记录、就业协议、就业去向相关登记等材料是否齐全。</w:t>
            </w:r>
          </w:p>
          <w:p w14:paraId="7D8A8C92">
            <w:pPr>
              <w:pStyle w:val="8"/>
              <w:numPr>
                <w:ilvl w:val="0"/>
                <w:numId w:val="5"/>
              </w:numPr>
              <w:ind w:firstLineChars="0"/>
              <w:rPr>
                <w:rFonts w:ascii="宋体" w:hAnsi="宋体" w:cs="宋体"/>
                <w:color w:val="000000"/>
                <w:sz w:val="24"/>
                <w:szCs w:val="24"/>
              </w:rPr>
            </w:pPr>
            <w:r>
              <w:rPr>
                <w:rFonts w:hint="eastAsia" w:ascii="宋体" w:hAnsi="宋体" w:cs="宋体"/>
                <w:color w:val="000000"/>
                <w:sz w:val="24"/>
                <w:szCs w:val="24"/>
              </w:rPr>
              <w:t>是否按物价部门核准标准收费；是否制定学校《收退费管理办法》，并按要求实施；财务管理人员是否具有会计从业资格证书；是否有会计事务所出具的审计报告【报告必须附资产负债表、业务活动表、自有固定资产明细表（包括设备名称、账面价值原值、评估价值净值）】</w:t>
            </w:r>
          </w:p>
          <w:p w14:paraId="026EE5EE">
            <w:pPr>
              <w:pStyle w:val="8"/>
              <w:numPr>
                <w:ilvl w:val="0"/>
                <w:numId w:val="5"/>
              </w:numPr>
              <w:ind w:firstLineChars="0"/>
              <w:rPr>
                <w:rFonts w:ascii="宋体" w:hAnsi="宋体" w:cs="宋体"/>
                <w:color w:val="000000"/>
                <w:sz w:val="24"/>
                <w:szCs w:val="24"/>
              </w:rPr>
            </w:pPr>
            <w:r>
              <w:rPr>
                <w:rFonts w:hint="eastAsia" w:ascii="宋体" w:hAnsi="宋体" w:cs="宋体"/>
                <w:color w:val="000000"/>
                <w:sz w:val="24"/>
                <w:szCs w:val="24"/>
              </w:rPr>
              <w:t>是否擅自变更学校名称、地址、办学类型及法定代表人；是否伪造、变造、买卖、出租、出借办学许可证；是否非法颁发或者伪造结业证书、职业资格证书；发布虚假招生简章或者广告，骗取钱财的；是否抽逃资金的；套取培训资金的；是否二年内没有开展培训的；是否未参加或不配合人社部门年度考核评估活动的；是否擅自设立分支机构；是否超范围开展培训的；是否许可证期满没有及时申请延续的。</w:t>
            </w:r>
          </w:p>
        </w:tc>
        <w:tc>
          <w:tcPr>
            <w:tcW w:w="21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778651">
            <w:pPr>
              <w:rPr>
                <w:rFonts w:ascii="宋体" w:hAnsi="宋体" w:cs="宋体"/>
                <w:color w:val="000000"/>
                <w:sz w:val="24"/>
                <w:szCs w:val="24"/>
              </w:rPr>
            </w:pPr>
            <w:r>
              <w:rPr>
                <w:rFonts w:hint="eastAsia" w:ascii="宋体" w:hAnsi="宋体" w:cs="宋体"/>
                <w:color w:val="000000"/>
                <w:sz w:val="24"/>
                <w:szCs w:val="24"/>
              </w:rPr>
              <w:t>双随机一公开</w:t>
            </w:r>
          </w:p>
        </w:tc>
        <w:tc>
          <w:tcPr>
            <w:tcW w:w="16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68CDBC">
            <w:pPr>
              <w:rPr>
                <w:rFonts w:ascii="宋体" w:hAnsi="宋体" w:cs="宋体"/>
                <w:color w:val="000000"/>
                <w:sz w:val="24"/>
                <w:szCs w:val="24"/>
              </w:rPr>
            </w:pPr>
          </w:p>
        </w:tc>
      </w:tr>
      <w:tr w14:paraId="4A80B174">
        <w:tblPrEx>
          <w:tblCellMar>
            <w:top w:w="0" w:type="dxa"/>
            <w:left w:w="0" w:type="dxa"/>
            <w:bottom w:w="0" w:type="dxa"/>
            <w:right w:w="0" w:type="dxa"/>
          </w:tblCellMar>
        </w:tblPrEx>
        <w:trPr>
          <w:trHeight w:val="1188" w:hRule="atLeast"/>
        </w:trPr>
        <w:tc>
          <w:tcPr>
            <w:tcW w:w="13680"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85C26C">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 xml:space="preserve">     注：1、抽查项目名称要规范，与抽查依据中的描述相吻合；2、填报的抽查依据要明确到法律法规和规章的具体条款、项、目；  3、抽查主体要填报具有主体资格的执法单位名称（行政机关、法律法规授权组织）；4、抽查事项清单填报完成后把电子版上报至slsfjfzk@126.com邮箱。</w:t>
            </w:r>
          </w:p>
        </w:tc>
      </w:tr>
      <w:tr w14:paraId="03F547DC">
        <w:tblPrEx>
          <w:tblCellMar>
            <w:top w:w="0" w:type="dxa"/>
            <w:left w:w="0" w:type="dxa"/>
            <w:bottom w:w="0" w:type="dxa"/>
            <w:right w:w="0" w:type="dxa"/>
          </w:tblCellMar>
        </w:tblPrEx>
        <w:trPr>
          <w:trHeight w:val="415" w:hRule="atLeast"/>
        </w:trPr>
        <w:tc>
          <w:tcPr>
            <w:tcW w:w="13680" w:type="dxa"/>
            <w:gridSpan w:val="7"/>
            <w:tcBorders>
              <w:top w:val="single" w:color="000000" w:sz="4" w:space="0"/>
              <w:left w:val="nil"/>
              <w:bottom w:val="single" w:color="000000" w:sz="4" w:space="0"/>
              <w:right w:val="nil"/>
            </w:tcBorders>
            <w:shd w:val="clear" w:color="auto" w:fill="auto"/>
            <w:tcMar>
              <w:top w:w="15" w:type="dxa"/>
              <w:left w:w="15" w:type="dxa"/>
              <w:right w:w="15" w:type="dxa"/>
            </w:tcMar>
            <w:vAlign w:val="center"/>
          </w:tcPr>
          <w:p w14:paraId="462491AC">
            <w:pPr>
              <w:widowControl/>
              <w:jc w:val="left"/>
              <w:textAlignment w:val="center"/>
              <w:rPr>
                <w:rFonts w:ascii="宋体" w:hAnsi="宋体" w:cs="宋体"/>
                <w:color w:val="000000"/>
                <w:sz w:val="24"/>
                <w:szCs w:val="24"/>
              </w:rPr>
            </w:pPr>
            <w:r>
              <w:rPr>
                <w:rFonts w:hint="eastAsia" w:ascii="宋体" w:hAnsi="宋体" w:cs="宋体"/>
                <w:color w:val="000000"/>
                <w:kern w:val="0"/>
                <w:sz w:val="24"/>
                <w:szCs w:val="24"/>
                <w:lang w:bidi="ar"/>
              </w:rPr>
              <w:t xml:space="preserve">   填报人： 孙健                          联系电话：1</w:t>
            </w:r>
            <w:r>
              <w:rPr>
                <w:rFonts w:ascii="宋体" w:hAnsi="宋体" w:cs="宋体"/>
                <w:color w:val="000000"/>
                <w:kern w:val="0"/>
                <w:sz w:val="24"/>
                <w:szCs w:val="24"/>
                <w:lang w:bidi="ar"/>
              </w:rPr>
              <w:t>3630976184</w:t>
            </w:r>
            <w:r>
              <w:rPr>
                <w:rFonts w:hint="eastAsia" w:ascii="宋体" w:hAnsi="宋体" w:cs="宋体"/>
                <w:color w:val="000000"/>
                <w:kern w:val="0"/>
                <w:sz w:val="24"/>
                <w:szCs w:val="24"/>
                <w:lang w:bidi="ar"/>
              </w:rPr>
              <w:t xml:space="preserve">                  单位领导签字： </w:t>
            </w:r>
          </w:p>
        </w:tc>
      </w:tr>
      <w:tr w14:paraId="5EB988EE">
        <w:tblPrEx>
          <w:tblCellMar>
            <w:top w:w="0" w:type="dxa"/>
            <w:left w:w="0" w:type="dxa"/>
            <w:bottom w:w="0" w:type="dxa"/>
            <w:right w:w="0" w:type="dxa"/>
          </w:tblCellMar>
        </w:tblPrEx>
        <w:trPr>
          <w:trHeight w:val="415" w:hRule="atLeast"/>
        </w:trPr>
        <w:tc>
          <w:tcPr>
            <w:tcW w:w="13680" w:type="dxa"/>
            <w:gridSpan w:val="7"/>
            <w:tcBorders>
              <w:top w:val="single" w:color="000000" w:sz="4" w:space="0"/>
              <w:left w:val="nil"/>
              <w:bottom w:val="nil"/>
              <w:right w:val="nil"/>
            </w:tcBorders>
            <w:shd w:val="clear" w:color="auto" w:fill="auto"/>
            <w:tcMar>
              <w:top w:w="15" w:type="dxa"/>
              <w:left w:w="15" w:type="dxa"/>
              <w:right w:w="15" w:type="dxa"/>
            </w:tcMar>
            <w:vAlign w:val="center"/>
          </w:tcPr>
          <w:p w14:paraId="79EEF1A7">
            <w:pPr>
              <w:widowControl/>
              <w:jc w:val="left"/>
              <w:textAlignment w:val="center"/>
              <w:rPr>
                <w:rFonts w:ascii="宋体" w:hAnsi="宋体" w:cs="宋体"/>
                <w:color w:val="000000"/>
                <w:kern w:val="0"/>
                <w:sz w:val="24"/>
                <w:szCs w:val="24"/>
                <w:lang w:bidi="ar"/>
              </w:rPr>
            </w:pPr>
          </w:p>
        </w:tc>
      </w:tr>
      <w:bookmarkEnd w:id="0"/>
    </w:tbl>
    <w:p w14:paraId="52D59A1E"/>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819DBEB-3F51-4131-B709-B278263A53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2" w:fontKey="{1032A6F1-5E37-4CE9-8EDC-B3EE260C5109}"/>
  </w:font>
  <w:font w:name="方正小标宋简体">
    <w:panose1 w:val="02000000000000000000"/>
    <w:charset w:val="86"/>
    <w:family w:val="auto"/>
    <w:pitch w:val="default"/>
    <w:sig w:usb0="00000001" w:usb1="08000000" w:usb2="00000000" w:usb3="00000000" w:csb0="00040000" w:csb1="00000000"/>
    <w:embedRegular r:id="rId3" w:fontKey="{C73AB4AD-D41F-42F2-9D04-9699E6870A51}"/>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BB3464"/>
    <w:multiLevelType w:val="multilevel"/>
    <w:tmpl w:val="0FBB3464"/>
    <w:lvl w:ilvl="0" w:tentative="0">
      <w:start w:val="1"/>
      <w:numFmt w:val="decimal"/>
      <w:lvlText w:val="%1."/>
      <w:lvlJc w:val="left"/>
      <w:pPr>
        <w:ind w:left="502" w:hanging="360"/>
      </w:pPr>
      <w:rPr>
        <w:rFonts w:hint="default"/>
      </w:rPr>
    </w:lvl>
    <w:lvl w:ilvl="1" w:tentative="0">
      <w:start w:val="1"/>
      <w:numFmt w:val="lowerLetter"/>
      <w:lvlText w:val="%2)"/>
      <w:lvlJc w:val="left"/>
      <w:pPr>
        <w:ind w:left="982" w:hanging="420"/>
      </w:pPr>
    </w:lvl>
    <w:lvl w:ilvl="2" w:tentative="0">
      <w:start w:val="1"/>
      <w:numFmt w:val="lowerRoman"/>
      <w:lvlText w:val="%3."/>
      <w:lvlJc w:val="right"/>
      <w:pPr>
        <w:ind w:left="1402" w:hanging="420"/>
      </w:pPr>
    </w:lvl>
    <w:lvl w:ilvl="3" w:tentative="0">
      <w:start w:val="1"/>
      <w:numFmt w:val="decimal"/>
      <w:lvlText w:val="%4."/>
      <w:lvlJc w:val="left"/>
      <w:pPr>
        <w:ind w:left="1822" w:hanging="420"/>
      </w:pPr>
    </w:lvl>
    <w:lvl w:ilvl="4" w:tentative="0">
      <w:start w:val="1"/>
      <w:numFmt w:val="lowerLetter"/>
      <w:lvlText w:val="%5)"/>
      <w:lvlJc w:val="left"/>
      <w:pPr>
        <w:ind w:left="2242" w:hanging="420"/>
      </w:pPr>
    </w:lvl>
    <w:lvl w:ilvl="5" w:tentative="0">
      <w:start w:val="1"/>
      <w:numFmt w:val="lowerRoman"/>
      <w:lvlText w:val="%6."/>
      <w:lvlJc w:val="right"/>
      <w:pPr>
        <w:ind w:left="2662" w:hanging="420"/>
      </w:pPr>
    </w:lvl>
    <w:lvl w:ilvl="6" w:tentative="0">
      <w:start w:val="1"/>
      <w:numFmt w:val="decimal"/>
      <w:lvlText w:val="%7."/>
      <w:lvlJc w:val="left"/>
      <w:pPr>
        <w:ind w:left="3082" w:hanging="420"/>
      </w:pPr>
    </w:lvl>
    <w:lvl w:ilvl="7" w:tentative="0">
      <w:start w:val="1"/>
      <w:numFmt w:val="lowerLetter"/>
      <w:lvlText w:val="%8)"/>
      <w:lvlJc w:val="left"/>
      <w:pPr>
        <w:ind w:left="3502" w:hanging="420"/>
      </w:pPr>
    </w:lvl>
    <w:lvl w:ilvl="8" w:tentative="0">
      <w:start w:val="1"/>
      <w:numFmt w:val="lowerRoman"/>
      <w:lvlText w:val="%9."/>
      <w:lvlJc w:val="right"/>
      <w:pPr>
        <w:ind w:left="3922" w:hanging="420"/>
      </w:pPr>
    </w:lvl>
  </w:abstractNum>
  <w:abstractNum w:abstractNumId="1">
    <w:nsid w:val="2EE373CA"/>
    <w:multiLevelType w:val="multilevel"/>
    <w:tmpl w:val="2EE373C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70050BC"/>
    <w:multiLevelType w:val="multilevel"/>
    <w:tmpl w:val="570050B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5FE7E3D"/>
    <w:multiLevelType w:val="multilevel"/>
    <w:tmpl w:val="65FE7E3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E974CE5"/>
    <w:multiLevelType w:val="multilevel"/>
    <w:tmpl w:val="7E974CE5"/>
    <w:lvl w:ilvl="0" w:tentative="0">
      <w:start w:val="1"/>
      <w:numFmt w:val="decimal"/>
      <w:lvlText w:val="%1."/>
      <w:lvlJc w:val="left"/>
      <w:pPr>
        <w:ind w:left="360" w:hanging="360"/>
      </w:pPr>
      <w:rPr>
        <w:rFonts w:hint="default" w:ascii="宋体" w:hAnsi="宋体" w:cs="宋体"/>
        <w:color w:val="000000"/>
        <w:sz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97A"/>
    <w:rsid w:val="00023F37"/>
    <w:rsid w:val="000A2969"/>
    <w:rsid w:val="000C1EA6"/>
    <w:rsid w:val="0016698D"/>
    <w:rsid w:val="001E7176"/>
    <w:rsid w:val="002C1583"/>
    <w:rsid w:val="00405D30"/>
    <w:rsid w:val="004F4AE5"/>
    <w:rsid w:val="00576192"/>
    <w:rsid w:val="006338BF"/>
    <w:rsid w:val="006F7098"/>
    <w:rsid w:val="00784362"/>
    <w:rsid w:val="00A24CF0"/>
    <w:rsid w:val="00A75DD7"/>
    <w:rsid w:val="00B730A4"/>
    <w:rsid w:val="00BB597A"/>
    <w:rsid w:val="00C43D4E"/>
    <w:rsid w:val="00CE15AF"/>
    <w:rsid w:val="00E219BF"/>
    <w:rsid w:val="00E456BA"/>
    <w:rsid w:val="00F542C7"/>
    <w:rsid w:val="00F978A6"/>
    <w:rsid w:val="00FA09E2"/>
    <w:rsid w:val="00FC443A"/>
    <w:rsid w:val="765C7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3320</Words>
  <Characters>3394</Characters>
  <Lines>25</Lines>
  <Paragraphs>7</Paragraphs>
  <TotalTime>145</TotalTime>
  <ScaleCrop>false</ScaleCrop>
  <LinksUpToDate>false</LinksUpToDate>
  <CharactersWithSpaces>3526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2020-01-17T00:40:00Z</dcterms:created>
  <dc:creator> </dc:creator>
  <cp:lastModifiedBy>WPS_1749101942</cp:lastModifiedBy>
  <dcterms:modified xsi:type="dcterms:W3CDTF">2026-04-15T01:54:54Z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eyJoZGlkIjoiZWFlYjQwODc2YWI0ZjlhYjYyNzFiYmVjOGI4OGMyMDEiLCJ1c2VySWQiOiIxNzA1OTgzNjI5In0=</vt:lpwstr>
  </property>
  <property fmtid="{D5CDD505-2E9C-101B-9397-08002B2CF9AE}" pid="3" name="KSOProductBuildVer">
    <vt:lpwstr>2052-12.1.0.25865</vt:lpwstr>
  </property>
  <property fmtid="{D5CDD505-2E9C-101B-9397-08002B2CF9AE}" pid="4" name="ICV">
    <vt:lpwstr>57D380527DD04EA7A4B35A09831C7577_12</vt:lpwstr>
  </property>
</Properties>
</file>