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B8193">
      <w:pPr>
        <w:jc w:val="center"/>
        <w:rPr>
          <w:rFonts w:hint="eastAsia" w:ascii="宋体" w:hAnsi="宋体" w:eastAsia="宋体" w:cs="宋体"/>
          <w:b/>
          <w:bCs/>
          <w:sz w:val="44"/>
          <w:szCs w:val="40"/>
        </w:rPr>
      </w:pPr>
      <w:r>
        <w:rPr>
          <w:rFonts w:hint="eastAsia" w:ascii="宋体" w:hAnsi="宋体" w:cs="宋体"/>
          <w:b/>
          <w:bCs/>
          <w:sz w:val="44"/>
          <w:szCs w:val="40"/>
          <w:highlight w:val="none"/>
          <w:u w:val="none" w:color="auto"/>
          <w:lang w:val="en-US" w:eastAsia="zh-CN"/>
        </w:rPr>
        <w:t>PG-09地块棚户区（危旧房）改造</w:t>
      </w:r>
      <w:r>
        <w:rPr>
          <w:rFonts w:hint="eastAsia" w:ascii="宋体" w:hAnsi="宋体" w:eastAsia="宋体" w:cs="宋体"/>
          <w:b/>
          <w:bCs/>
          <w:sz w:val="44"/>
          <w:szCs w:val="40"/>
          <w:lang w:val="en-US" w:eastAsia="zh-CN"/>
        </w:rPr>
        <w:t>项目</w:t>
      </w:r>
      <w:r>
        <w:rPr>
          <w:rFonts w:hint="eastAsia" w:ascii="宋体" w:hAnsi="宋体" w:cs="宋体"/>
          <w:b/>
          <w:bCs/>
          <w:sz w:val="44"/>
          <w:szCs w:val="40"/>
          <w:lang w:val="en-US" w:eastAsia="zh-CN"/>
        </w:rPr>
        <w:t>房屋拟</w:t>
      </w:r>
      <w:r>
        <w:rPr>
          <w:rFonts w:hint="eastAsia" w:ascii="宋体" w:hAnsi="宋体" w:eastAsia="宋体" w:cs="宋体"/>
          <w:b/>
          <w:bCs/>
          <w:sz w:val="44"/>
          <w:szCs w:val="40"/>
        </w:rPr>
        <w:t>征收补偿方案</w:t>
      </w:r>
    </w:p>
    <w:p w14:paraId="3F49EA45">
      <w:pPr>
        <w:widowControl w:val="0"/>
        <w:snapToGrid w:val="0"/>
        <w:spacing w:before="0" w:after="0" w:line="306" w:lineRule="atLeast"/>
        <w:ind w:left="0" w:right="0" w:firstLine="0"/>
        <w:jc w:val="center"/>
        <w:textAlignment w:val="baseline"/>
        <w:rPr>
          <w:rFonts w:hint="default" w:ascii="微软雅黑" w:hAnsi="微软雅黑" w:eastAsia="微软雅黑" w:cs="微软雅黑"/>
          <w:b w:val="0"/>
          <w:bCs/>
          <w:sz w:val="22"/>
          <w:szCs w:val="21"/>
          <w:u w:val="none" w:color="auto"/>
          <w:lang w:val="en-US" w:eastAsia="zh-CN"/>
        </w:rPr>
      </w:pPr>
      <w:r>
        <w:rPr>
          <w:rFonts w:hint="eastAsia" w:ascii="微软雅黑" w:hAnsi="微软雅黑" w:eastAsia="微软雅黑" w:cs="微软雅黑"/>
          <w:b w:val="0"/>
          <w:bCs/>
          <w:sz w:val="22"/>
          <w:szCs w:val="21"/>
          <w:u w:val="none" w:color="auto"/>
          <w:lang w:eastAsia="zh-CN"/>
        </w:rPr>
        <w:t>（</w:t>
      </w:r>
      <w:r>
        <w:rPr>
          <w:rFonts w:hint="eastAsia" w:ascii="微软雅黑" w:hAnsi="微软雅黑" w:eastAsia="微软雅黑" w:cs="微软雅黑"/>
          <w:b w:val="0"/>
          <w:bCs/>
          <w:sz w:val="22"/>
          <w:szCs w:val="21"/>
          <w:u w:val="none" w:color="auto"/>
          <w:lang w:val="en-US" w:eastAsia="zh-CN"/>
        </w:rPr>
        <w:t>征求意见稿）</w:t>
      </w:r>
    </w:p>
    <w:p w14:paraId="63841F68">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lang w:val="en-US" w:eastAsia="zh-CN"/>
        </w:rPr>
      </w:pPr>
      <w:r>
        <w:rPr>
          <w:rFonts w:hint="eastAsia" w:ascii="微软雅黑" w:hAnsi="微软雅黑" w:eastAsia="微软雅黑" w:cs="微软雅黑"/>
          <w:b w:val="0"/>
          <w:bCs/>
          <w:sz w:val="18"/>
          <w:szCs w:val="16"/>
          <w:u w:val="none" w:color="auto"/>
          <w:lang w:val="en-US" w:eastAsia="zh-CN"/>
        </w:rPr>
        <w:t xml:space="preserve"> </w:t>
      </w:r>
    </w:p>
    <w:p w14:paraId="290EFEC6">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lang w:val="en-US" w:eastAsia="zh-CN"/>
        </w:rPr>
      </w:pPr>
    </w:p>
    <w:p w14:paraId="40D7FFDA">
      <w:pPr>
        <w:widowControl w:val="0"/>
        <w:snapToGrid w:val="0"/>
        <w:spacing w:before="0" w:after="0" w:line="266" w:lineRule="atLeast"/>
        <w:ind w:left="0" w:right="0" w:firstLine="0"/>
        <w:jc w:val="both"/>
        <w:textAlignment w:val="baseline"/>
        <w:rPr>
          <w:rFonts w:hint="eastAsia" w:ascii="宋体" w:hAnsi="宋体" w:eastAsia="宋体" w:cs="宋体"/>
          <w:b w:val="0"/>
          <w:bCs/>
          <w:sz w:val="20"/>
          <w:szCs w:val="18"/>
          <w:u w:val="none" w:color="auto"/>
        </w:rPr>
      </w:pPr>
      <w:r>
        <w:rPr>
          <w:rFonts w:hint="eastAsia" w:ascii="微软雅黑" w:hAnsi="微软雅黑" w:eastAsia="微软雅黑" w:cs="微软雅黑"/>
          <w:b w:val="0"/>
          <w:bCs/>
          <w:sz w:val="21"/>
          <w:szCs w:val="16"/>
          <w:u w:val="none" w:color="auto"/>
        </w:rPr>
        <w:t xml:space="preserve"> 　</w:t>
      </w:r>
      <w:r>
        <w:rPr>
          <w:rFonts w:hint="eastAsia" w:ascii="微软雅黑" w:hAnsi="微软雅黑" w:eastAsia="微软雅黑" w:cs="微软雅黑"/>
          <w:b w:val="0"/>
          <w:bCs/>
          <w:sz w:val="24"/>
          <w:szCs w:val="16"/>
          <w:u w:val="none" w:color="auto"/>
        </w:rPr>
        <w:t xml:space="preserve"> </w:t>
      </w:r>
      <w:r>
        <w:rPr>
          <w:rFonts w:hint="eastAsia" w:ascii="宋体" w:hAnsi="宋体" w:eastAsia="宋体" w:cs="宋体"/>
          <w:b w:val="0"/>
          <w:bCs/>
          <w:sz w:val="21"/>
          <w:szCs w:val="16"/>
          <w:u w:val="none" w:color="auto"/>
        </w:rPr>
        <w:t xml:space="preserve"> </w:t>
      </w:r>
      <w:r>
        <w:rPr>
          <w:rFonts w:hint="eastAsia" w:ascii="宋体" w:hAnsi="宋体" w:eastAsia="宋体" w:cs="宋体"/>
          <w:b w:val="0"/>
          <w:bCs/>
          <w:sz w:val="22"/>
          <w:szCs w:val="18"/>
          <w:u w:val="none" w:color="auto"/>
        </w:rPr>
        <w:t>为</w:t>
      </w:r>
      <w:r>
        <w:rPr>
          <w:rFonts w:hint="eastAsia" w:ascii="宋体" w:hAnsi="宋体" w:eastAsia="宋体" w:cs="宋体"/>
          <w:b w:val="0"/>
          <w:bCs/>
          <w:sz w:val="22"/>
          <w:szCs w:val="18"/>
          <w:u w:val="none" w:color="auto"/>
          <w:lang w:val="en-US" w:eastAsia="zh-CN"/>
        </w:rPr>
        <w:t>了</w:t>
      </w:r>
      <w:r>
        <w:rPr>
          <w:rFonts w:hint="eastAsia" w:ascii="宋体" w:hAnsi="宋体" w:eastAsia="宋体" w:cs="宋体"/>
          <w:b w:val="0"/>
          <w:bCs/>
          <w:sz w:val="22"/>
          <w:szCs w:val="18"/>
          <w:u w:val="none" w:color="auto"/>
        </w:rPr>
        <w:t>公共利益的需要，根据《国有土地上房屋征收与补偿条例》、</w:t>
      </w:r>
      <w:r>
        <w:rPr>
          <w:rFonts w:hint="eastAsia" w:ascii="宋体" w:hAnsi="宋体" w:eastAsia="宋体" w:cs="宋体"/>
          <w:b w:val="0"/>
          <w:bCs/>
          <w:sz w:val="22"/>
          <w:szCs w:val="18"/>
          <w:u w:val="none" w:color="auto"/>
          <w:lang w:val="en-US" w:eastAsia="zh-CN"/>
        </w:rPr>
        <w:t>吉林省第</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273</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号令</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吉林省国有土地上房屋征收与补偿办法》、</w:t>
      </w:r>
      <w:r>
        <w:rPr>
          <w:rFonts w:hint="eastAsia" w:ascii="宋体" w:hAnsi="宋体" w:eastAsia="宋体" w:cs="宋体"/>
          <w:b w:val="0"/>
          <w:bCs/>
          <w:sz w:val="22"/>
          <w:szCs w:val="18"/>
          <w:u w:val="none" w:color="auto"/>
        </w:rPr>
        <w:t>《双辽市国有土地上房屋征收与补偿补助奖励办法》，</w:t>
      </w:r>
      <w:r>
        <w:rPr>
          <w:rFonts w:hint="eastAsia" w:ascii="宋体" w:hAnsi="宋体" w:eastAsia="宋体" w:cs="宋体"/>
          <w:b w:val="0"/>
          <w:bCs/>
          <w:sz w:val="22"/>
          <w:szCs w:val="18"/>
          <w:u w:val="none" w:color="auto"/>
          <w:lang w:val="en-US" w:eastAsia="zh-CN"/>
        </w:rPr>
        <w:t>及有</w:t>
      </w:r>
      <w:r>
        <w:rPr>
          <w:rFonts w:hint="eastAsia" w:ascii="宋体" w:hAnsi="宋体" w:eastAsia="宋体" w:cs="宋体"/>
          <w:b w:val="0"/>
          <w:bCs/>
          <w:sz w:val="22"/>
          <w:szCs w:val="18"/>
          <w:u w:val="none" w:color="auto"/>
        </w:rPr>
        <w:t>关</w:t>
      </w:r>
      <w:r>
        <w:rPr>
          <w:rFonts w:hint="eastAsia" w:ascii="宋体" w:hAnsi="宋体" w:eastAsia="宋体" w:cs="宋体"/>
          <w:b w:val="0"/>
          <w:bCs/>
          <w:sz w:val="22"/>
          <w:szCs w:val="18"/>
          <w:u w:val="none" w:color="auto"/>
          <w:lang w:val="en-US" w:eastAsia="zh-CN"/>
        </w:rPr>
        <w:t>法律、法规之规定，双辽市人民政府组织相关部门研究论证后，决定</w:t>
      </w:r>
      <w:r>
        <w:rPr>
          <w:rFonts w:hint="eastAsia" w:ascii="宋体" w:hAnsi="宋体" w:cs="宋体"/>
          <w:b w:val="0"/>
          <w:bCs/>
          <w:sz w:val="22"/>
          <w:szCs w:val="18"/>
          <w:u w:val="none" w:color="auto"/>
          <w:lang w:val="en-US" w:eastAsia="zh-CN"/>
        </w:rPr>
        <w:t>PG-09地块棚户区（危旧房）改造项目</w:t>
      </w:r>
      <w:r>
        <w:rPr>
          <w:rFonts w:hint="eastAsia" w:ascii="宋体" w:hAnsi="宋体" w:eastAsia="宋体" w:cs="宋体"/>
          <w:b w:val="0"/>
          <w:bCs/>
          <w:sz w:val="22"/>
          <w:szCs w:val="18"/>
          <w:u w:val="none" w:color="auto"/>
          <w:lang w:val="en-US" w:eastAsia="zh-CN"/>
        </w:rPr>
        <w:t>范围内房屋进行</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lang w:val="en-US" w:eastAsia="zh-CN"/>
        </w:rPr>
        <w:t>征收。为</w:t>
      </w:r>
      <w:r>
        <w:rPr>
          <w:rFonts w:hint="eastAsia" w:ascii="宋体" w:hAnsi="宋体" w:cs="宋体"/>
          <w:b w:val="0"/>
          <w:bCs/>
          <w:sz w:val="22"/>
          <w:szCs w:val="18"/>
          <w:u w:val="none" w:color="auto"/>
          <w:lang w:val="en-US" w:eastAsia="zh-CN"/>
        </w:rPr>
        <w:t>解决</w:t>
      </w:r>
      <w:bookmarkStart w:id="0" w:name="_GoBack"/>
      <w:bookmarkEnd w:id="0"/>
      <w:r>
        <w:rPr>
          <w:rFonts w:hint="eastAsia" w:ascii="宋体" w:hAnsi="宋体" w:cs="宋体"/>
          <w:b w:val="0"/>
          <w:bCs/>
          <w:sz w:val="22"/>
          <w:szCs w:val="18"/>
          <w:u w:val="none" w:color="auto"/>
          <w:lang w:val="en-US" w:eastAsia="zh-CN"/>
        </w:rPr>
        <w:t>PG-09地块棚户区（危旧房）改造项目</w:t>
      </w:r>
      <w:r>
        <w:rPr>
          <w:rFonts w:hint="eastAsia" w:ascii="宋体" w:hAnsi="宋体" w:eastAsia="宋体" w:cs="宋体"/>
          <w:b w:val="0"/>
          <w:bCs/>
          <w:sz w:val="22"/>
          <w:szCs w:val="18"/>
          <w:u w:val="none" w:color="auto"/>
          <w:lang w:val="en-US" w:eastAsia="zh-CN"/>
        </w:rPr>
        <w:t>房屋所有权人的合法权益，立足于本市实际情况，特制定如下</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lang w:val="en-US" w:eastAsia="zh-CN"/>
        </w:rPr>
        <w:t>征收补偿方案。</w:t>
      </w:r>
    </w:p>
    <w:p w14:paraId="3B844B0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一、项目名称</w:t>
      </w:r>
    </w:p>
    <w:p w14:paraId="37EB6C3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bCs w:val="0"/>
          <w:sz w:val="22"/>
          <w:szCs w:val="18"/>
          <w:u w:val="none" w:color="auto"/>
          <w:lang w:val="en-US" w:eastAsia="zh-CN"/>
        </w:rPr>
        <w:t xml:space="preserve">   </w:t>
      </w:r>
      <w:r>
        <w:rPr>
          <w:rFonts w:hint="eastAsia" w:ascii="宋体" w:hAnsi="宋体" w:cs="宋体"/>
          <w:b w:val="0"/>
          <w:bCs/>
          <w:sz w:val="22"/>
          <w:szCs w:val="18"/>
          <w:u w:val="none" w:color="auto"/>
          <w:lang w:val="en-US" w:eastAsia="zh-CN"/>
        </w:rPr>
        <w:t>PG-09地块棚户区（危旧房）改造项目</w:t>
      </w:r>
      <w:r>
        <w:rPr>
          <w:rFonts w:hint="eastAsia" w:ascii="宋体" w:hAnsi="宋体" w:eastAsia="宋体" w:cs="宋体"/>
          <w:b w:val="0"/>
          <w:bCs/>
          <w:sz w:val="22"/>
          <w:szCs w:val="18"/>
          <w:u w:val="none" w:color="auto"/>
        </w:rPr>
        <w:t>。</w:t>
      </w:r>
    </w:p>
    <w:p w14:paraId="19DFC8D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rPr>
        <w:t>征收范围</w:t>
      </w:r>
    </w:p>
    <w:p w14:paraId="50E2DA6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本项目征收范围：</w:t>
      </w:r>
      <w:r>
        <w:rPr>
          <w:rFonts w:hint="eastAsia"/>
          <w:sz w:val="22"/>
          <w:szCs w:val="22"/>
          <w:lang w:val="en-US" w:eastAsia="zh-CN"/>
        </w:rPr>
        <w:t>东邻食品公司家属楼，南邻中石油加油站，西邻信用社家属楼，北邻雍景第小区</w:t>
      </w:r>
      <w:r>
        <w:rPr>
          <w:rFonts w:hint="eastAsia" w:ascii="宋体" w:hAnsi="宋体" w:cs="宋体"/>
          <w:b w:val="0"/>
          <w:bCs/>
          <w:sz w:val="22"/>
          <w:szCs w:val="18"/>
          <w:u w:val="none" w:color="auto"/>
          <w:lang w:val="en-US" w:eastAsia="zh-CN"/>
        </w:rPr>
        <w:t>街</w:t>
      </w:r>
      <w:r>
        <w:rPr>
          <w:rFonts w:hint="eastAsia" w:ascii="宋体" w:hAnsi="宋体" w:eastAsia="宋体" w:cs="宋体"/>
          <w:b w:val="0"/>
          <w:bCs/>
          <w:sz w:val="22"/>
          <w:szCs w:val="18"/>
          <w:u w:val="none" w:color="auto"/>
        </w:rPr>
        <w:t>，</w:t>
      </w:r>
      <w:r>
        <w:rPr>
          <w:rFonts w:hint="eastAsia" w:ascii="宋体" w:hAnsi="宋体" w:cs="宋体"/>
          <w:b w:val="0"/>
          <w:bCs/>
          <w:sz w:val="22"/>
          <w:szCs w:val="18"/>
          <w:u w:val="none" w:color="auto"/>
          <w:lang w:val="en-US" w:eastAsia="zh-CN"/>
        </w:rPr>
        <w:t>征收户数12</w:t>
      </w:r>
      <w:r>
        <w:rPr>
          <w:rFonts w:hint="eastAsia" w:ascii="宋体" w:hAnsi="宋体" w:eastAsia="宋体" w:cs="宋体"/>
          <w:b w:val="0"/>
          <w:bCs/>
          <w:sz w:val="22"/>
          <w:szCs w:val="18"/>
          <w:u w:val="none" w:color="auto"/>
        </w:rPr>
        <w:t>（户）,征收房屋建筑面积约</w:t>
      </w:r>
      <w:r>
        <w:rPr>
          <w:rFonts w:hint="eastAsia" w:ascii="宋体" w:hAnsi="宋体" w:cs="宋体"/>
          <w:b w:val="0"/>
          <w:bCs/>
          <w:sz w:val="22"/>
          <w:szCs w:val="18"/>
          <w:u w:val="none" w:color="auto"/>
          <w:lang w:val="en-US" w:eastAsia="zh-CN"/>
        </w:rPr>
        <w:t>4400</w:t>
      </w:r>
      <w:r>
        <w:rPr>
          <w:rFonts w:hint="eastAsia" w:ascii="宋体" w:hAnsi="宋体" w:eastAsia="宋体" w:cs="宋体"/>
          <w:b w:val="0"/>
          <w:bCs/>
          <w:sz w:val="22"/>
          <w:szCs w:val="18"/>
          <w:u w:val="none" w:color="auto"/>
          <w:lang w:eastAsia="zh-CN"/>
        </w:rPr>
        <w:t>平</w:t>
      </w:r>
      <w:r>
        <w:rPr>
          <w:rFonts w:hint="eastAsia" w:ascii="宋体" w:hAnsi="宋体" w:eastAsia="宋体" w:cs="宋体"/>
          <w:b w:val="0"/>
          <w:bCs/>
          <w:sz w:val="22"/>
          <w:szCs w:val="18"/>
          <w:u w:val="none" w:color="auto"/>
        </w:rPr>
        <w:t>方米。</w:t>
      </w:r>
    </w:p>
    <w:p w14:paraId="04369B5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三、房屋征收主体：双辽市人民政府</w:t>
      </w:r>
    </w:p>
    <w:p w14:paraId="3954607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lang w:eastAsia="zh-CN"/>
        </w:rPr>
      </w:pPr>
      <w:r>
        <w:rPr>
          <w:rFonts w:hint="eastAsia" w:ascii="宋体" w:hAnsi="宋体" w:eastAsia="宋体" w:cs="宋体"/>
          <w:b w:val="0"/>
          <w:bCs/>
          <w:sz w:val="22"/>
          <w:szCs w:val="18"/>
          <w:u w:val="none" w:color="auto"/>
        </w:rPr>
        <w:t xml:space="preserve">        房屋征收部门：双辽市城市管理</w:t>
      </w:r>
      <w:r>
        <w:rPr>
          <w:rFonts w:hint="eastAsia" w:ascii="宋体" w:hAnsi="宋体" w:eastAsia="宋体" w:cs="宋体"/>
          <w:b w:val="0"/>
          <w:bCs/>
          <w:sz w:val="22"/>
          <w:szCs w:val="18"/>
          <w:u w:val="none" w:color="auto"/>
          <w:lang w:eastAsia="zh-CN"/>
        </w:rPr>
        <w:t>行政</w:t>
      </w:r>
      <w:r>
        <w:rPr>
          <w:rFonts w:hint="eastAsia" w:ascii="宋体" w:hAnsi="宋体" w:eastAsia="宋体" w:cs="宋体"/>
          <w:b w:val="0"/>
          <w:bCs/>
          <w:sz w:val="22"/>
          <w:szCs w:val="18"/>
          <w:u w:val="none" w:color="auto"/>
        </w:rPr>
        <w:t>执法</w:t>
      </w:r>
      <w:r>
        <w:rPr>
          <w:rFonts w:hint="eastAsia" w:ascii="宋体" w:hAnsi="宋体" w:eastAsia="宋体" w:cs="宋体"/>
          <w:b w:val="0"/>
          <w:bCs/>
          <w:sz w:val="22"/>
          <w:szCs w:val="18"/>
          <w:u w:val="none" w:color="auto"/>
          <w:lang w:eastAsia="zh-CN"/>
        </w:rPr>
        <w:t>局</w:t>
      </w:r>
    </w:p>
    <w:p w14:paraId="36945A6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房屋征收实施单位：双辽市房屋征收经办中心</w:t>
      </w:r>
    </w:p>
    <w:p w14:paraId="513C598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四、征收实施时间：自房屋征收决定公告之日起实施。</w:t>
      </w:r>
    </w:p>
    <w:p w14:paraId="745564E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五、征收补偿签约期限</w:t>
      </w:r>
      <w:r>
        <w:rPr>
          <w:rFonts w:hint="eastAsia" w:ascii="宋体" w:hAnsi="宋体" w:cs="宋体"/>
          <w:b w:val="0"/>
          <w:bCs/>
          <w:sz w:val="22"/>
          <w:szCs w:val="18"/>
          <w:u w:val="none" w:color="auto"/>
          <w:lang w:val="en-US" w:eastAsia="zh-CN"/>
        </w:rPr>
        <w:t>为</w:t>
      </w:r>
      <w:r>
        <w:rPr>
          <w:rFonts w:hint="eastAsia" w:ascii="宋体" w:hAnsi="宋体" w:eastAsia="宋体" w:cs="宋体"/>
          <w:b w:val="0"/>
          <w:bCs/>
          <w:sz w:val="22"/>
          <w:szCs w:val="18"/>
          <w:u w:val="none" w:color="auto"/>
        </w:rPr>
        <w:t>：</w:t>
      </w:r>
    </w:p>
    <w:p w14:paraId="05F3F728">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none" w:color="auto"/>
        </w:rPr>
      </w:pPr>
      <w:r>
        <w:rPr>
          <w:rFonts w:hint="eastAsia" w:ascii="宋体" w:hAnsi="宋体" w:eastAsia="宋体" w:cs="宋体"/>
          <w:b w:val="0"/>
          <w:bCs/>
          <w:sz w:val="22"/>
          <w:szCs w:val="18"/>
          <w:u w:val="none" w:color="auto"/>
        </w:rPr>
        <w:t xml:space="preserve"> 　 自发布房屋征收决定公告之日起</w:t>
      </w:r>
      <w:r>
        <w:rPr>
          <w:rFonts w:hint="eastAsia" w:ascii="宋体" w:hAnsi="宋体" w:cs="宋体"/>
          <w:b w:val="0"/>
          <w:bCs/>
          <w:sz w:val="22"/>
          <w:szCs w:val="18"/>
          <w:u w:val="none" w:color="auto"/>
          <w:lang w:val="en-US" w:eastAsia="zh-CN"/>
        </w:rPr>
        <w:t>3</w:t>
      </w:r>
      <w:r>
        <w:rPr>
          <w:rFonts w:hint="eastAsia" w:ascii="宋体" w:hAnsi="宋体" w:eastAsia="宋体" w:cs="宋体"/>
          <w:b w:val="0"/>
          <w:bCs/>
          <w:sz w:val="22"/>
          <w:szCs w:val="18"/>
          <w:u w:val="none" w:color="auto"/>
        </w:rPr>
        <w:t>个月内。</w:t>
      </w:r>
    </w:p>
    <w:p w14:paraId="67CE1B1D">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六、征收补偿</w:t>
      </w:r>
    </w:p>
    <w:p w14:paraId="2534B5B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被征收人可以选择货币补偿，也可以选择产权调换。</w:t>
      </w:r>
    </w:p>
    <w:p w14:paraId="603523EA">
      <w:pPr>
        <w:widowControl w:val="0"/>
        <w:numPr>
          <w:ilvl w:val="0"/>
          <w:numId w:val="1"/>
        </w:numPr>
        <w:snapToGrid w:val="0"/>
        <w:spacing w:before="0" w:after="0" w:line="238" w:lineRule="atLeast"/>
        <w:ind w:left="315" w:leftChars="0" w:right="0" w:firstLine="0" w:firstLineChars="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货币补偿</w:t>
      </w:r>
    </w:p>
    <w:p w14:paraId="54407EE9">
      <w:pPr>
        <w:widowControl w:val="0"/>
        <w:numPr>
          <w:ilvl w:val="0"/>
          <w:numId w:val="0"/>
        </w:numPr>
        <w:snapToGrid w:val="0"/>
        <w:spacing w:before="0" w:after="0" w:line="240" w:lineRule="auto"/>
        <w:ind w:left="0" w:leftChars="0" w:right="0" w:rightChars="0" w:firstLine="440" w:firstLineChars="20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私有住宅房屋货币补偿额=</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面积×房地产评估单价+搬迁补</w:t>
      </w:r>
      <w:r>
        <w:rPr>
          <w:rFonts w:hint="eastAsia" w:ascii="宋体" w:hAnsi="宋体" w:cs="宋体"/>
          <w:b w:val="0"/>
          <w:bCs/>
          <w:sz w:val="22"/>
          <w:szCs w:val="18"/>
          <w:u w:val="none" w:color="auto"/>
          <w:lang w:val="en-US" w:eastAsia="zh-CN"/>
        </w:rPr>
        <w:t>助</w:t>
      </w:r>
      <w:r>
        <w:rPr>
          <w:rFonts w:hint="eastAsia" w:ascii="宋体" w:hAnsi="宋体" w:eastAsia="宋体" w:cs="宋体"/>
          <w:b w:val="0"/>
          <w:bCs/>
          <w:sz w:val="22"/>
          <w:szCs w:val="18"/>
          <w:u w:val="none" w:color="auto"/>
        </w:rPr>
        <w:t xml:space="preserve">费+附属设施补偿等。从事经营活动有照的非住宅房屋货币补偿额=房证建筑面积×房地产评估单价+搬迁补助费+附属设施补偿费+停产停业损失费等 </w:t>
      </w:r>
      <w:r>
        <w:rPr>
          <w:rFonts w:hint="eastAsia" w:ascii="宋体" w:hAnsi="宋体" w:eastAsia="宋体" w:cs="宋体"/>
          <w:b w:val="0"/>
          <w:bCs/>
          <w:sz w:val="22"/>
          <w:szCs w:val="18"/>
          <w:u w:val="none" w:color="auto"/>
          <w:lang w:eastAsia="zh-CN"/>
        </w:rPr>
        <w:t>。</w:t>
      </w:r>
    </w:p>
    <w:p w14:paraId="04CF080B">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⒈被征收人选择货币补偿的，按照评估结果给予补偿。</w:t>
      </w:r>
    </w:p>
    <w:p w14:paraId="5A49D6E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⒉平房院内仓房、棚厦、院内附属物、停产停业损失费、搬家费依据评估机构评估确定的价格予以货币补偿或按双辽市兴城项目投资有限公司提供的回迁楼房评估市场价格进行折算，给予回迁楼房面积</w:t>
      </w:r>
      <w:r>
        <w:rPr>
          <w:rFonts w:hint="eastAsia" w:ascii="宋体" w:hAnsi="宋体" w:eastAsia="宋体" w:cs="宋体"/>
          <w:b/>
          <w:bCs w:val="0"/>
          <w:sz w:val="22"/>
          <w:szCs w:val="18"/>
          <w:u w:val="none" w:color="auto"/>
        </w:rPr>
        <w:t>。</w:t>
      </w:r>
    </w:p>
    <w:p w14:paraId="1240FF4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（二）产权调换</w:t>
      </w:r>
    </w:p>
    <w:p w14:paraId="7F7178B5">
      <w:pPr>
        <w:widowControl w:val="0"/>
        <w:snapToGrid w:val="0"/>
        <w:spacing w:before="0" w:after="0" w:line="238" w:lineRule="atLeast"/>
        <w:ind w:left="0" w:right="0" w:firstLine="419"/>
        <w:jc w:val="both"/>
        <w:textAlignment w:val="baseline"/>
        <w:rPr>
          <w:rFonts w:hint="eastAsia" w:ascii="宋体" w:hAnsi="宋体" w:eastAsia="宋体" w:cs="宋体"/>
          <w:b w:val="0"/>
          <w:bCs/>
          <w:sz w:val="22"/>
          <w:szCs w:val="18"/>
          <w:u w:val="none" w:color="auto"/>
          <w:lang w:val="en-US" w:eastAsia="zh-CN"/>
        </w:rPr>
      </w:pPr>
      <w:r>
        <w:rPr>
          <w:rFonts w:hint="eastAsia" w:ascii="宋体" w:hAnsi="宋体" w:eastAsia="宋体" w:cs="宋体"/>
          <w:b w:val="0"/>
          <w:bCs/>
          <w:sz w:val="22"/>
          <w:szCs w:val="18"/>
          <w:u w:val="none" w:color="auto"/>
        </w:rPr>
        <w:t>⒈</w:t>
      </w:r>
      <w:r>
        <w:rPr>
          <w:rFonts w:hint="eastAsia" w:ascii="宋体" w:hAnsi="宋体" w:cs="宋体"/>
          <w:b w:val="0"/>
          <w:bCs/>
          <w:sz w:val="22"/>
          <w:szCs w:val="18"/>
          <w:u w:val="none" w:color="auto"/>
          <w:lang w:val="en-US" w:eastAsia="zh-CN"/>
        </w:rPr>
        <w:t>现房</w:t>
      </w:r>
      <w:r>
        <w:rPr>
          <w:rFonts w:hint="eastAsia" w:ascii="宋体" w:hAnsi="宋体" w:eastAsia="宋体" w:cs="宋体"/>
          <w:b w:val="0"/>
          <w:bCs/>
          <w:sz w:val="22"/>
          <w:szCs w:val="18"/>
          <w:u w:val="none" w:color="auto"/>
          <w:lang w:eastAsia="zh-CN"/>
        </w:rPr>
        <w:t>回迁安置为：</w:t>
      </w:r>
      <w:r>
        <w:rPr>
          <w:rFonts w:hint="eastAsia" w:ascii="宋体" w:hAnsi="宋体" w:cs="宋体"/>
          <w:b w:val="0"/>
          <w:bCs/>
          <w:sz w:val="22"/>
          <w:szCs w:val="18"/>
          <w:u w:val="none" w:color="auto"/>
          <w:lang w:val="en-US" w:eastAsia="zh-CN"/>
        </w:rPr>
        <w:t>如意雅居小区、西善小区</w:t>
      </w:r>
      <w:r>
        <w:rPr>
          <w:rFonts w:hint="eastAsia" w:ascii="宋体" w:hAnsi="宋体" w:eastAsia="宋体" w:cs="宋体"/>
          <w:b w:val="0"/>
          <w:bCs/>
          <w:sz w:val="22"/>
          <w:szCs w:val="18"/>
          <w:u w:val="none" w:color="auto"/>
          <w:lang w:val="en-US" w:eastAsia="zh-CN"/>
        </w:rPr>
        <w:t>。</w:t>
      </w:r>
    </w:p>
    <w:p w14:paraId="55D89049">
      <w:pPr>
        <w:widowControl w:val="0"/>
        <w:snapToGrid w:val="0"/>
        <w:spacing w:before="0" w:after="0" w:line="238" w:lineRule="atLeast"/>
        <w:ind w:left="0" w:right="0" w:firstLine="419"/>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⒉产权调换住宅房屋的相关规定：</w:t>
      </w:r>
    </w:p>
    <w:p w14:paraId="61C69D1F">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①住宅房屋被征收人选择产权调换的，按被征收房屋</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面积“征一还一”予以补偿，被征收房屋的建筑面积与产权调换房屋建筑面积相等部分不结算差价。</w:t>
      </w:r>
    </w:p>
    <w:p w14:paraId="62A9061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②被征收住宅房屋以房屋所有权证为补偿单位，选择高层住宅每户无偿增加8平方米安置面积</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选择</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层住宅每户无偿增加</w:t>
      </w:r>
      <w:r>
        <w:rPr>
          <w:rFonts w:hint="eastAsia" w:ascii="宋体" w:hAnsi="宋体" w:cs="宋体"/>
          <w:b w:val="0"/>
          <w:bCs/>
          <w:sz w:val="22"/>
          <w:szCs w:val="18"/>
          <w:u w:val="none" w:color="auto"/>
          <w:lang w:val="en-US" w:eastAsia="zh-CN"/>
        </w:rPr>
        <w:t>5</w:t>
      </w:r>
      <w:r>
        <w:rPr>
          <w:rFonts w:hint="eastAsia" w:ascii="宋体" w:hAnsi="宋体" w:eastAsia="宋体" w:cs="宋体"/>
          <w:b w:val="0"/>
          <w:bCs/>
          <w:sz w:val="22"/>
          <w:szCs w:val="18"/>
          <w:u w:val="none" w:color="auto"/>
        </w:rPr>
        <w:t>平方米安置面积。</w:t>
      </w:r>
    </w:p>
    <w:p w14:paraId="0D32200C">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18"/>
          <w:u w:val="none" w:color="auto"/>
          <w:lang w:eastAsia="zh-CN"/>
        </w:rPr>
      </w:pPr>
      <w:r>
        <w:rPr>
          <w:rFonts w:hint="eastAsia" w:ascii="宋体" w:hAnsi="宋体" w:eastAsia="宋体" w:cs="宋体"/>
          <w:b w:val="0"/>
          <w:bCs/>
          <w:sz w:val="22"/>
          <w:szCs w:val="18"/>
          <w:u w:val="none" w:color="auto"/>
        </w:rPr>
        <w:t xml:space="preserve">    ③被征收住宅房屋按照规定标准产权调换高层住宅楼房，在增加和奖励安置面积后仍不足50平方米的不足面积部分，按双辽市兴城项目投资有限公司提供回迁楼房的建筑成本价格进行购买</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被征收住宅房屋产权调换</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层住宅楼房，在增加和奖励安置面积后仍不足</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平方米的不足面积部分，按双辽市兴城项目投资有限公司提供回迁楼房的建筑成本价格进行购买</w:t>
      </w:r>
    </w:p>
    <w:p w14:paraId="1D04E9D8">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④被征收人为低保户、特困户或唯一一处住房，由相关部门核实证明，经房屋征收认定小组认定后，选择房屋产权调换高层住宅楼房的，被征收住宅房屋按照规定标准增加和奖励安置面积后仍不足50平方米的，无偿安置到50平方米</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选择房屋产权调换</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层住宅楼房的，被征收住宅房屋按照规定标准增加和奖励安置面积后仍不足</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平方米的，无偿安置到</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w:t>
      </w:r>
    </w:p>
    <w:p w14:paraId="4C7495A5">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p>
    <w:p w14:paraId="6678404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⑤产权调换房屋本着优先选择原则，先搬迁先选择。按《房屋征收补偿协议书》搬迁顺序号的先后顺序，由被征收人在规定的回迁区域内和规定的回迁楼内自行选择。</w:t>
      </w:r>
    </w:p>
    <w:p w14:paraId="2860434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⑥被征收人的无证房屋根据《双辽市国有土地上房屋征收与补偿补助奖励办法》进行补偿。</w:t>
      </w:r>
    </w:p>
    <w:p w14:paraId="46099A1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single" w:color="auto"/>
        </w:rPr>
      </w:pPr>
      <w:r>
        <w:rPr>
          <w:rFonts w:hint="eastAsia" w:ascii="宋体" w:hAnsi="宋体" w:eastAsia="宋体" w:cs="宋体"/>
          <w:b w:val="0"/>
          <w:bCs/>
          <w:sz w:val="22"/>
          <w:szCs w:val="18"/>
          <w:u w:val="none" w:color="auto"/>
        </w:rPr>
        <w:t xml:space="preserve">    ⒊非住宅房屋</w:t>
      </w:r>
    </w:p>
    <w:p w14:paraId="22EFA30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①产权登记为</w:t>
      </w:r>
      <w:r>
        <w:rPr>
          <w:rFonts w:hint="eastAsia" w:ascii="宋体" w:hAnsi="宋体" w:eastAsia="宋体" w:cs="宋体"/>
          <w:b w:val="0"/>
          <w:bCs/>
          <w:sz w:val="22"/>
          <w:szCs w:val="18"/>
          <w:u w:val="none" w:color="auto"/>
          <w:lang w:eastAsia="zh-CN"/>
        </w:rPr>
        <w:t>商</w:t>
      </w:r>
      <w:r>
        <w:rPr>
          <w:rFonts w:hint="eastAsia" w:ascii="宋体" w:hAnsi="宋体" w:eastAsia="宋体" w:cs="宋体"/>
          <w:b w:val="0"/>
          <w:bCs/>
          <w:sz w:val="22"/>
          <w:szCs w:val="18"/>
          <w:u w:val="none" w:color="auto"/>
        </w:rPr>
        <w:t>业性质的房屋，产权调换到同类地段营业房屋的，被征收房屋原面积部分实行“征一还一”不结算差价，被征收人要求再增加面积部分按市场价格结算。其他用途的非住宅房屋，被征收人要求产权调换营业性质房屋的，按被征收房屋的评估价值与产权调换房屋市场价格结算差价的方式安置。</w:t>
      </w:r>
    </w:p>
    <w:p w14:paraId="4A0C226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 被征收房屋产权证照上记载为住宅，但被征收人利用房屋从事经营活动的（简称住宅兼营业），按住宅房屋安置补偿。</w:t>
      </w:r>
    </w:p>
    <w:p w14:paraId="181F048D">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征收时</w:t>
      </w:r>
      <w:r>
        <w:rPr>
          <w:rFonts w:hint="eastAsia" w:ascii="宋体" w:hAnsi="宋体" w:cs="宋体"/>
          <w:b w:val="0"/>
          <w:bCs/>
          <w:sz w:val="22"/>
          <w:szCs w:val="18"/>
          <w:u w:val="none" w:color="auto"/>
          <w:lang w:val="en-US" w:eastAsia="zh-CN"/>
        </w:rPr>
        <w:t>持</w:t>
      </w:r>
      <w:r>
        <w:rPr>
          <w:rFonts w:hint="eastAsia" w:ascii="宋体" w:hAnsi="宋体" w:eastAsia="宋体" w:cs="宋体"/>
          <w:b w:val="0"/>
          <w:bCs/>
          <w:sz w:val="22"/>
          <w:szCs w:val="18"/>
          <w:u w:val="none" w:color="auto"/>
        </w:rPr>
        <w:t>有有效工商营业执照并从事经营活动的，按非住宅房屋的停产停业损失补偿标准给予停产停业损失补偿。</w:t>
      </w:r>
    </w:p>
    <w:p w14:paraId="60718A2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（三）双重选择</w:t>
      </w:r>
    </w:p>
    <w:p w14:paraId="2D9327A6">
      <w:pPr>
        <w:widowControl w:val="0"/>
        <w:snapToGrid w:val="0"/>
        <w:spacing w:before="0" w:after="0" w:line="238" w:lineRule="atLeast"/>
        <w:ind w:left="0" w:right="0" w:firstLine="44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被征收人既选择货币补偿又选择产权调换的，按本条（一）项（二）项的规定执行。</w:t>
      </w:r>
    </w:p>
    <w:p w14:paraId="07E7E2A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w:t>
      </w:r>
      <w:r>
        <w:rPr>
          <w:rFonts w:hint="eastAsia" w:ascii="宋体" w:hAnsi="宋体" w:eastAsia="宋体" w:cs="宋体"/>
          <w:b w:val="0"/>
          <w:bCs/>
          <w:sz w:val="22"/>
          <w:szCs w:val="18"/>
          <w:u w:val="none" w:color="auto"/>
          <w:lang w:eastAsia="zh-CN"/>
        </w:rPr>
        <w:t>七</w:t>
      </w:r>
      <w:r>
        <w:rPr>
          <w:rFonts w:hint="eastAsia" w:ascii="宋体" w:hAnsi="宋体" w:eastAsia="宋体" w:cs="宋体"/>
          <w:b w:val="0"/>
          <w:bCs/>
          <w:sz w:val="22"/>
          <w:szCs w:val="18"/>
          <w:u w:val="none" w:color="auto"/>
        </w:rPr>
        <w:t>、房屋征收产权调换遇到下列情况按以下规定执行：</w:t>
      </w:r>
    </w:p>
    <w:p w14:paraId="44660BF9">
      <w:pPr>
        <w:widowControl w:val="0"/>
        <w:snapToGrid w:val="0"/>
        <w:spacing w:before="0" w:after="0" w:line="238" w:lineRule="atLeast"/>
        <w:ind w:left="0" w:right="0" w:firstLine="441"/>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（一）产权调换房屋面积少于被征收房屋核算确定面积</w:t>
      </w:r>
      <w:r>
        <w:rPr>
          <w:rFonts w:hint="eastAsia" w:ascii="宋体" w:hAnsi="宋体" w:cs="宋体"/>
          <w:b w:val="0"/>
          <w:bCs/>
          <w:sz w:val="22"/>
          <w:szCs w:val="18"/>
          <w:u w:val="none" w:color="auto"/>
          <w:lang w:val="en-US" w:eastAsia="zh-CN"/>
        </w:rPr>
        <w:t>按评估机构评估的价格</w:t>
      </w:r>
      <w:r>
        <w:rPr>
          <w:rFonts w:hint="eastAsia" w:ascii="宋体" w:hAnsi="宋体" w:eastAsia="宋体" w:cs="宋体"/>
          <w:b w:val="0"/>
          <w:bCs/>
          <w:sz w:val="22"/>
          <w:szCs w:val="18"/>
          <w:u w:val="none" w:color="auto"/>
        </w:rPr>
        <w:t>向被征收人退款；</w:t>
      </w:r>
    </w:p>
    <w:p w14:paraId="5BDCC6A3">
      <w:pPr>
        <w:widowControl w:val="0"/>
        <w:snapToGrid w:val="0"/>
        <w:spacing w:before="0" w:after="0" w:line="238" w:lineRule="atLeast"/>
        <w:ind w:left="0" w:right="0" w:firstLine="441"/>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（二）被征收人选择安置户型时，如选择超出核算</w:t>
      </w:r>
      <w:r>
        <w:rPr>
          <w:rFonts w:hint="eastAsia" w:ascii="宋体" w:hAnsi="宋体" w:cs="宋体"/>
          <w:b w:val="0"/>
          <w:bCs/>
          <w:sz w:val="22"/>
          <w:szCs w:val="18"/>
          <w:u w:val="none" w:color="auto"/>
          <w:lang w:val="en-US" w:eastAsia="zh-CN"/>
        </w:rPr>
        <w:t>后</w:t>
      </w:r>
      <w:r>
        <w:rPr>
          <w:rFonts w:hint="eastAsia" w:ascii="宋体" w:hAnsi="宋体" w:eastAsia="宋体" w:cs="宋体"/>
          <w:b w:val="0"/>
          <w:bCs/>
          <w:sz w:val="22"/>
          <w:szCs w:val="18"/>
          <w:u w:val="none" w:color="auto"/>
        </w:rPr>
        <w:t>确定</w:t>
      </w:r>
      <w:r>
        <w:rPr>
          <w:rFonts w:hint="eastAsia" w:ascii="宋体" w:hAnsi="宋体" w:cs="宋体"/>
          <w:b w:val="0"/>
          <w:bCs/>
          <w:sz w:val="22"/>
          <w:szCs w:val="18"/>
          <w:u w:val="none" w:color="auto"/>
          <w:lang w:val="en-US" w:eastAsia="zh-CN"/>
        </w:rPr>
        <w:t>的</w:t>
      </w:r>
      <w:r>
        <w:rPr>
          <w:rFonts w:hint="eastAsia" w:ascii="宋体" w:hAnsi="宋体" w:eastAsia="宋体" w:cs="宋体"/>
          <w:b w:val="0"/>
          <w:bCs/>
          <w:sz w:val="22"/>
          <w:szCs w:val="18"/>
          <w:u w:val="none" w:color="auto"/>
        </w:rPr>
        <w:t>面积自行增加</w:t>
      </w:r>
      <w:r>
        <w:rPr>
          <w:rFonts w:hint="eastAsia" w:ascii="宋体" w:hAnsi="宋体" w:cs="宋体"/>
          <w:b w:val="0"/>
          <w:bCs/>
          <w:sz w:val="22"/>
          <w:szCs w:val="18"/>
          <w:u w:val="none" w:color="auto"/>
          <w:lang w:val="en-US" w:eastAsia="zh-CN"/>
        </w:rPr>
        <w:t>的</w:t>
      </w:r>
      <w:r>
        <w:rPr>
          <w:rFonts w:hint="eastAsia" w:ascii="宋体" w:hAnsi="宋体" w:eastAsia="宋体" w:cs="宋体"/>
          <w:b w:val="0"/>
          <w:bCs/>
          <w:sz w:val="22"/>
          <w:szCs w:val="18"/>
          <w:u w:val="none" w:color="auto"/>
        </w:rPr>
        <w:t>部分</w:t>
      </w:r>
      <w:r>
        <w:rPr>
          <w:rFonts w:hint="eastAsia" w:ascii="宋体" w:hAnsi="宋体" w:cs="宋体"/>
          <w:b w:val="0"/>
          <w:bCs/>
          <w:sz w:val="22"/>
          <w:szCs w:val="18"/>
          <w:u w:val="none" w:color="auto"/>
          <w:lang w:eastAsia="zh-CN"/>
        </w:rPr>
        <w:t>，</w:t>
      </w:r>
      <w:r>
        <w:rPr>
          <w:rFonts w:hint="eastAsia" w:ascii="宋体" w:hAnsi="宋体" w:cs="宋体"/>
          <w:b w:val="0"/>
          <w:bCs/>
          <w:sz w:val="22"/>
          <w:szCs w:val="18"/>
          <w:u w:val="none" w:color="auto"/>
          <w:lang w:val="en-US" w:eastAsia="zh-CN"/>
        </w:rPr>
        <w:t>按双辽市兴城项目投资有限公司提供的回迁楼房评估市场价格进行</w:t>
      </w:r>
      <w:r>
        <w:rPr>
          <w:rFonts w:hint="eastAsia" w:ascii="宋体" w:hAnsi="宋体" w:eastAsia="宋体" w:cs="宋体"/>
          <w:b w:val="0"/>
          <w:bCs/>
          <w:sz w:val="22"/>
          <w:szCs w:val="18"/>
          <w:u w:val="none" w:color="auto"/>
        </w:rPr>
        <w:t>购买。</w:t>
      </w:r>
    </w:p>
    <w:p w14:paraId="256E0F0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（三）被征收人为下肢残疾或双目失明或有重大疾病不能上高楼层的，由房屋征收实施单位及相关部门核实证明，可照顾安置到低层。</w:t>
      </w:r>
    </w:p>
    <w:p w14:paraId="2BDE57A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八</w:t>
      </w:r>
      <w:r>
        <w:rPr>
          <w:rFonts w:hint="eastAsia" w:ascii="宋体" w:hAnsi="宋体" w:eastAsia="宋体" w:cs="宋体"/>
          <w:b w:val="0"/>
          <w:bCs/>
          <w:sz w:val="22"/>
          <w:szCs w:val="18"/>
          <w:u w:val="none" w:color="auto"/>
        </w:rPr>
        <w:t>、相关补助费、补偿费和奖励标准</w:t>
      </w:r>
    </w:p>
    <w:p w14:paraId="7DFF263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（一）搬迁补助费。</w:t>
      </w:r>
    </w:p>
    <w:p w14:paraId="33D2EF0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住宅房屋的搬迁补助费按被征收房屋每户</w:t>
      </w:r>
      <w:r>
        <w:rPr>
          <w:rFonts w:hint="eastAsia" w:ascii="宋体" w:hAnsi="宋体" w:cs="宋体"/>
          <w:b w:val="0"/>
          <w:bCs/>
          <w:sz w:val="22"/>
          <w:szCs w:val="18"/>
          <w:u w:val="none" w:color="auto"/>
          <w:lang w:val="en-US" w:eastAsia="zh-CN"/>
        </w:rPr>
        <w:t>2</w:t>
      </w:r>
      <w:r>
        <w:rPr>
          <w:rFonts w:hint="eastAsia" w:ascii="宋体" w:hAnsi="宋体" w:eastAsia="宋体" w:cs="宋体"/>
          <w:b w:val="0"/>
          <w:bCs/>
          <w:sz w:val="22"/>
          <w:szCs w:val="18"/>
          <w:u w:val="none" w:color="auto"/>
        </w:rPr>
        <w:t>000元给予补贴，不可移动的重型、大型设备搬迁按实际发生费用给予补贴。</w:t>
      </w:r>
    </w:p>
    <w:p w14:paraId="58D08EF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二</w:t>
      </w:r>
      <w:r>
        <w:rPr>
          <w:rFonts w:hint="eastAsia" w:ascii="宋体" w:hAnsi="宋体" w:eastAsia="宋体" w:cs="宋体"/>
          <w:b w:val="0"/>
          <w:bCs/>
          <w:sz w:val="22"/>
          <w:szCs w:val="18"/>
          <w:u w:val="none" w:color="auto"/>
        </w:rPr>
        <w:t>）奖励措施。</w:t>
      </w:r>
    </w:p>
    <w:p w14:paraId="4699CF3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征收房屋对被征收人实行奖励制度。对按照征收决定的签约期限内签订协议并搬迁的被征收人，选择产权调换的，按房屋产权证面积增加20％予以奖励；选择货币补偿的，按房屋产权证</w:t>
      </w:r>
      <w:r>
        <w:rPr>
          <w:rFonts w:hint="eastAsia" w:ascii="宋体" w:hAnsi="宋体" w:cs="宋体"/>
          <w:b w:val="0"/>
          <w:bCs/>
          <w:sz w:val="22"/>
          <w:szCs w:val="18"/>
          <w:u w:val="none" w:color="auto"/>
          <w:lang w:val="en-US" w:eastAsia="zh-CN"/>
        </w:rPr>
        <w:t>面积</w:t>
      </w:r>
      <w:r>
        <w:rPr>
          <w:rFonts w:hint="eastAsia" w:ascii="宋体" w:hAnsi="宋体" w:eastAsia="宋体" w:cs="宋体"/>
          <w:b w:val="0"/>
          <w:bCs/>
          <w:sz w:val="22"/>
          <w:szCs w:val="18"/>
          <w:u w:val="none" w:color="auto"/>
        </w:rPr>
        <w:t>评估价20％给予奖励。逾期没有签订协议的，一律不得以任何形式给予奖励。</w:t>
      </w:r>
    </w:p>
    <w:p w14:paraId="3B834C8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三</w:t>
      </w:r>
      <w:r>
        <w:rPr>
          <w:rFonts w:hint="eastAsia" w:ascii="宋体" w:hAnsi="宋体" w:eastAsia="宋体" w:cs="宋体"/>
          <w:b w:val="0"/>
          <w:bCs/>
          <w:sz w:val="22"/>
          <w:szCs w:val="18"/>
          <w:u w:val="none" w:color="auto"/>
        </w:rPr>
        <w:t>）停产停业损失费的补偿。</w:t>
      </w:r>
    </w:p>
    <w:p w14:paraId="2F99C80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对工商、税务登记手续齐全并事实经营，且房屋实际用途为生产、经营用房的，在征收决定公告之日仍在维持生产、经营，因房屋征收造成停产、停业损失的，按照下列方式给予补偿：</w:t>
      </w:r>
    </w:p>
    <w:p w14:paraId="12E8930D">
      <w:pPr>
        <w:widowControl w:val="0"/>
        <w:snapToGrid w:val="0"/>
        <w:spacing w:before="0" w:after="0" w:line="238" w:lineRule="atLeast"/>
        <w:ind w:left="0" w:right="0" w:firstLine="42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lang w:val="en-US" w:eastAsia="zh-CN"/>
        </w:rPr>
        <w:t>1.住宅房屋持有有效工商营业执照的，停产停业</w:t>
      </w:r>
      <w:r>
        <w:rPr>
          <w:rFonts w:hint="eastAsia" w:ascii="宋体" w:hAnsi="宋体" w:eastAsia="宋体" w:cs="宋体"/>
          <w:b w:val="0"/>
          <w:bCs/>
          <w:sz w:val="22"/>
          <w:szCs w:val="18"/>
          <w:u w:val="none" w:color="auto"/>
        </w:rPr>
        <w:t>损失</w:t>
      </w:r>
      <w:r>
        <w:rPr>
          <w:rFonts w:hint="eastAsia" w:ascii="宋体" w:hAnsi="宋体" w:eastAsia="宋体" w:cs="宋体"/>
          <w:b w:val="0"/>
          <w:bCs/>
          <w:sz w:val="22"/>
          <w:szCs w:val="18"/>
          <w:u w:val="none" w:color="auto"/>
          <w:lang w:eastAsia="zh-CN"/>
        </w:rPr>
        <w:t>费</w:t>
      </w:r>
      <w:r>
        <w:rPr>
          <w:rFonts w:hint="eastAsia" w:ascii="宋体" w:hAnsi="宋体" w:eastAsia="宋体" w:cs="宋体"/>
          <w:b w:val="0"/>
          <w:bCs/>
          <w:sz w:val="22"/>
          <w:szCs w:val="18"/>
          <w:u w:val="none" w:color="auto"/>
        </w:rPr>
        <w:t>按照下列方式给予补偿：</w:t>
      </w:r>
    </w:p>
    <w:p w14:paraId="568844B5">
      <w:pPr>
        <w:widowControl w:val="0"/>
        <w:snapToGrid w:val="0"/>
        <w:spacing w:before="0" w:after="0" w:line="238" w:lineRule="atLeast"/>
        <w:ind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1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⑴</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5年（含第5年）以下的，</w:t>
      </w:r>
      <w:r>
        <w:rPr>
          <w:rFonts w:hint="eastAsia" w:ascii="宋体" w:hAnsi="宋体" w:eastAsia="宋体" w:cs="宋体"/>
          <w:b w:val="0"/>
          <w:bCs/>
          <w:sz w:val="22"/>
          <w:szCs w:val="18"/>
          <w:u w:val="none" w:color="auto"/>
        </w:rPr>
        <w:t>按被征收房屋实际经营面积评估价值的10%给予经营者一次性补偿；</w:t>
      </w:r>
    </w:p>
    <w:p w14:paraId="505AE149">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2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⑵</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6年至10年（含第10年）的，</w:t>
      </w:r>
      <w:r>
        <w:rPr>
          <w:rFonts w:hint="eastAsia" w:ascii="宋体" w:hAnsi="宋体" w:eastAsia="宋体" w:cs="宋体"/>
          <w:b w:val="0"/>
          <w:bCs/>
          <w:sz w:val="22"/>
          <w:szCs w:val="18"/>
          <w:u w:val="none" w:color="auto"/>
        </w:rPr>
        <w:t>按被征收房屋实际经营面积评估价值的1</w:t>
      </w:r>
      <w:r>
        <w:rPr>
          <w:rFonts w:hint="eastAsia" w:ascii="宋体" w:hAnsi="宋体" w:eastAsia="宋体" w:cs="宋体"/>
          <w:b w:val="0"/>
          <w:bCs/>
          <w:sz w:val="22"/>
          <w:szCs w:val="18"/>
          <w:u w:val="none" w:color="auto"/>
          <w:lang w:val="en-US" w:eastAsia="zh-CN"/>
        </w:rPr>
        <w:t>5</w:t>
      </w:r>
      <w:r>
        <w:rPr>
          <w:rFonts w:hint="eastAsia" w:ascii="宋体" w:hAnsi="宋体" w:eastAsia="宋体" w:cs="宋体"/>
          <w:b w:val="0"/>
          <w:bCs/>
          <w:sz w:val="22"/>
          <w:szCs w:val="18"/>
          <w:u w:val="none" w:color="auto"/>
        </w:rPr>
        <w:t>%给予经营者一次性补偿；</w:t>
      </w:r>
    </w:p>
    <w:p w14:paraId="5D088BA9">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3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⑶</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10年以上（不含第10年）的，</w:t>
      </w:r>
      <w:r>
        <w:rPr>
          <w:rFonts w:hint="eastAsia" w:ascii="宋体" w:hAnsi="宋体" w:eastAsia="宋体" w:cs="宋体"/>
          <w:b w:val="0"/>
          <w:bCs/>
          <w:sz w:val="22"/>
          <w:szCs w:val="18"/>
          <w:u w:val="none" w:color="auto"/>
        </w:rPr>
        <w:t>按被征收房屋实际经营面积评估价值的</w:t>
      </w:r>
      <w:r>
        <w:rPr>
          <w:rFonts w:hint="eastAsia" w:ascii="宋体" w:hAnsi="宋体" w:eastAsia="宋体" w:cs="宋体"/>
          <w:b w:val="0"/>
          <w:bCs/>
          <w:sz w:val="22"/>
          <w:szCs w:val="18"/>
          <w:u w:val="none" w:color="auto"/>
          <w:lang w:val="en-US" w:eastAsia="zh-CN"/>
        </w:rPr>
        <w:t>20</w:t>
      </w:r>
      <w:r>
        <w:rPr>
          <w:rFonts w:hint="eastAsia" w:ascii="宋体" w:hAnsi="宋体" w:eastAsia="宋体" w:cs="宋体"/>
          <w:b w:val="0"/>
          <w:bCs/>
          <w:sz w:val="22"/>
          <w:szCs w:val="18"/>
          <w:u w:val="none" w:color="auto"/>
        </w:rPr>
        <w:t>%给予经营者一次性补偿；</w:t>
      </w:r>
    </w:p>
    <w:p w14:paraId="059A8F4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w:t>
      </w: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2.</w:t>
      </w:r>
      <w:r>
        <w:rPr>
          <w:rFonts w:hint="eastAsia" w:ascii="宋体" w:hAnsi="宋体" w:eastAsia="宋体" w:cs="宋体"/>
          <w:b w:val="0"/>
          <w:bCs/>
          <w:sz w:val="22"/>
          <w:szCs w:val="18"/>
          <w:u w:val="none" w:color="auto"/>
        </w:rPr>
        <w:t>被征收人自行经营的，停产停业损失费补偿给被征收人；承租人经营的，停产停业损失费被征收人和承租人各50%。</w:t>
      </w:r>
    </w:p>
    <w:p w14:paraId="24097FF6">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3.</w:t>
      </w:r>
      <w:r>
        <w:rPr>
          <w:rFonts w:hint="eastAsia" w:ascii="宋体" w:hAnsi="宋体" w:eastAsia="宋体" w:cs="宋体"/>
          <w:b w:val="0"/>
          <w:bCs/>
          <w:i w:val="0"/>
          <w:sz w:val="22"/>
          <w:szCs w:val="18"/>
          <w:u w:val="none" w:color="auto"/>
        </w:rPr>
        <w:t>对具有工商手续，但生产、经营活动不在征收范围内进行的，不给予停产停业损失补偿。</w:t>
      </w:r>
    </w:p>
    <w:p w14:paraId="4B7A6752">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九</w:t>
      </w:r>
      <w:r>
        <w:rPr>
          <w:rFonts w:hint="eastAsia" w:ascii="宋体" w:hAnsi="宋体" w:eastAsia="宋体" w:cs="宋体"/>
          <w:b w:val="0"/>
          <w:bCs/>
          <w:sz w:val="22"/>
          <w:szCs w:val="18"/>
          <w:u w:val="none" w:color="auto"/>
        </w:rPr>
        <w:t>、解决争议方式</w:t>
      </w:r>
    </w:p>
    <w:p w14:paraId="4B2E4DE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（一）未签约解决争议方式。</w:t>
      </w:r>
    </w:p>
    <w:p w14:paraId="2E06D72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房屋征收部门与被征收人经协商未达成补偿协议的，或者被征收房屋所有权人不明确或房屋所有权人下落不明的，由房屋征收单位报请市人民政府，按照本征收补偿方案作出补偿决定，并在房屋征收范围内予以公告。</w:t>
      </w:r>
    </w:p>
    <w:p w14:paraId="11EDF00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被征收人对补偿决定不服的，可以依法申请行政复议，也可以依法提起行政诉讼。</w:t>
      </w:r>
    </w:p>
    <w:p w14:paraId="63094A87">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被征收人在法定期限内不申请行政复议或者不提起行政诉讼，在补偿决定规定的期限内拒不搬迁的，由市人民政府依法申请人民法院强制执行。</w:t>
      </w:r>
    </w:p>
    <w:p w14:paraId="658B597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（二）已签约未交房解决争议方式。</w:t>
      </w:r>
    </w:p>
    <w:p w14:paraId="3B537E7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被征收人签约后，在约定的时间内拒绝腾空让房的，由市人民政府申请人民法院依法强制搬迁。</w:t>
      </w:r>
    </w:p>
    <w:p w14:paraId="0D3D6E4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十、本方案最终解释权在双辽市人民政府。　</w:t>
      </w:r>
    </w:p>
    <w:p w14:paraId="5682FE1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十</w:t>
      </w:r>
      <w:r>
        <w:rPr>
          <w:rFonts w:hint="eastAsia" w:ascii="宋体" w:hAnsi="宋体" w:cs="宋体"/>
          <w:b w:val="0"/>
          <w:bCs/>
          <w:sz w:val="22"/>
          <w:szCs w:val="18"/>
          <w:u w:val="none" w:color="auto"/>
          <w:lang w:val="en-US" w:eastAsia="zh-CN"/>
        </w:rPr>
        <w:t>一</w:t>
      </w:r>
      <w:r>
        <w:rPr>
          <w:rFonts w:hint="eastAsia" w:ascii="宋体" w:hAnsi="宋体" w:eastAsia="宋体" w:cs="宋体"/>
          <w:b w:val="0"/>
          <w:bCs/>
          <w:sz w:val="22"/>
          <w:szCs w:val="18"/>
          <w:u w:val="none" w:color="auto"/>
        </w:rPr>
        <w:t>、如出台新政策、文件，参照新政策、文件执行。</w:t>
      </w:r>
    </w:p>
    <w:p w14:paraId="661744F4">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p>
    <w:p w14:paraId="79C217AD">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029477F1">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7A167FF9">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2531C5B6">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023AF607">
      <w:pPr>
        <w:widowControl w:val="0"/>
        <w:snapToGrid w:val="0"/>
        <w:spacing w:before="0" w:after="0" w:line="368"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40"/>
          <w:szCs w:val="16"/>
          <w:u w:val="none" w:color="auto"/>
        </w:rPr>
        <w:t xml:space="preserve">           </w:t>
      </w:r>
      <w:r>
        <w:rPr>
          <w:rFonts w:hint="eastAsia" w:ascii="宋体" w:hAnsi="宋体" w:cs="宋体"/>
          <w:b w:val="0"/>
          <w:bCs/>
          <w:sz w:val="40"/>
          <w:szCs w:val="16"/>
          <w:u w:val="none" w:color="auto"/>
          <w:lang w:val="en-US" w:eastAsia="zh-CN"/>
        </w:rPr>
        <w:t xml:space="preserve"> </w:t>
      </w:r>
      <w:r>
        <w:rPr>
          <w:rFonts w:hint="eastAsia" w:ascii="宋体" w:hAnsi="宋体" w:eastAsia="宋体" w:cs="宋体"/>
          <w:b w:val="0"/>
          <w:bCs/>
          <w:sz w:val="40"/>
          <w:szCs w:val="16"/>
          <w:u w:val="none" w:color="auto"/>
        </w:rPr>
        <w:t xml:space="preserve">   </w:t>
      </w:r>
      <w:r>
        <w:rPr>
          <w:rFonts w:hint="eastAsia" w:ascii="宋体" w:hAnsi="宋体" w:eastAsia="宋体" w:cs="宋体"/>
          <w:b w:val="0"/>
          <w:bCs/>
          <w:sz w:val="28"/>
          <w:szCs w:val="16"/>
          <w:u w:val="none" w:color="auto"/>
        </w:rPr>
        <w:t xml:space="preserve"> </w:t>
      </w:r>
      <w:r>
        <w:rPr>
          <w:rFonts w:hint="eastAsia" w:ascii="宋体" w:hAnsi="宋体" w:eastAsia="宋体" w:cs="宋体"/>
          <w:b w:val="0"/>
          <w:bCs/>
          <w:sz w:val="36"/>
          <w:szCs w:val="20"/>
          <w:u w:val="none" w:color="auto"/>
        </w:rPr>
        <w:t>双辽市人民政府</w:t>
      </w:r>
    </w:p>
    <w:p w14:paraId="6B440ED4">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p>
    <w:p w14:paraId="11FFDB48">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r>
        <w:rPr>
          <w:rFonts w:hint="eastAsia" w:ascii="宋体" w:hAnsi="宋体" w:cs="宋体"/>
          <w:b w:val="0"/>
          <w:bCs/>
          <w:sz w:val="36"/>
          <w:szCs w:val="20"/>
          <w:u w:val="none" w:color="auto"/>
          <w:lang w:val="en-US" w:eastAsia="zh-CN"/>
        </w:rPr>
        <w:t xml:space="preserve">   2025年4月30日</w:t>
      </w:r>
    </w:p>
    <w:p w14:paraId="2578B338">
      <w:pPr>
        <w:rPr>
          <w:rFonts w:hint="eastAsia" w:ascii="宋体" w:hAnsi="宋体" w:eastAsia="宋体" w:cs="宋体"/>
          <w:b w:val="0"/>
          <w:bCs/>
          <w:sz w:val="18"/>
          <w:szCs w:val="16"/>
          <w:u w:val="none" w:color="auto"/>
        </w:rPr>
      </w:pPr>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23810" w:h="16837"/>
      <w:pgMar w:top="720" w:right="720" w:bottom="720" w:left="720" w:header="283" w:footer="283" w:gutter="0"/>
      <w:pgNumType w:start="1"/>
      <w:cols w:equalWidth="0" w:num="3">
        <w:col w:w="7122" w:space="425"/>
        <w:col w:w="7276" w:space="425"/>
        <w:col w:w="71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AB3E6">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6432"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9" o:spid="_x0000_s1026" o:spt="202" type="#_x0000_t202" style="position:absolute;left:0pt;margin-left:28.3pt;margin-top:817.2pt;height:10.45pt;width:1133.85pt;mso-position-horizontal-relative:page;mso-position-vertical-relative:page;z-index:-251650048;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WKKtgAAAANAQAADwAAAAAAAAABACAAAAAi&#10;AAAAZHJzL2Rvd25yZXYueG1sUEsBAhQAFAAAAAgAh07iQAm4pXgKAgAABgQAAA4AAAAAAAAAAQAg&#10;AAAAJw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1730">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5408"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7" name="文本框 8"/>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8" o:spid="_x0000_s1026" o:spt="202" type="#_x0000_t202" style="position:absolute;left:0pt;margin-left:28.3pt;margin-top:817.2pt;height:10.45pt;width:1133.85pt;mso-position-horizontal-relative:page;mso-position-vertical-relative:page;z-index:-251651072;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1iirYAAAADQEAAA8AAAAAAAAAAQAgAAAA&#10;IgAAAGRycy9kb3ducmV2LnhtbFBLAQIUABQAAAAIAIdO4kC6WOLrCwIAAAYEAAAOAAAAAAAAAAEA&#10;IAAAACc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5B66">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5" o:spid="_x0000_s1026" o:spt="202" type="#_x0000_t202" style="position:absolute;left:0pt;margin-left:28.3pt;margin-top:14.15pt;height:10.45pt;width:1133.85pt;mso-position-horizontal-relative:page;mso-position-vertical-relative:page;z-index:-251654144;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09zPXAAAACQEAAA8AAAAAAAAAAQAgAAAA&#10;IgAAAGRycy9kb3ducmV2LnhtbFBLAQIUABQAAAAIAIdO4kAMUWaaDAIAAAYEAAAOAAAAAAAAAAEA&#10;IAAAACY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6D13D02B">
                          <w:pPr>
                            <w:widowControl w:val="0"/>
                            <w:snapToGrid w:val="0"/>
                            <w:spacing w:before="0" w:after="0" w:line="300" w:lineRule="atLeast"/>
                            <w:ind w:left="0" w:right="0" w:firstLine="0"/>
                            <w:jc w:val="both"/>
                            <w:textAlignment w:val="baseline"/>
                          </w:pPr>
                        </w:p>
                        <w:p w14:paraId="6C69A7A3">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6" o:spid="_x0000_s1026" o:spt="202" type="#_x0000_t202" style="position:absolute;left:0pt;margin-left:28.3pt;margin-top:14.15pt;height:14.15pt;width:1133pt;mso-position-horizontal-relative:page;mso-position-vertical-relative:page;z-index:-251653120;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Ke/kFx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14:paraId="6D13D02B">
                    <w:pPr>
                      <w:widowControl w:val="0"/>
                      <w:snapToGrid w:val="0"/>
                      <w:spacing w:before="0" w:after="0" w:line="300" w:lineRule="atLeast"/>
                      <w:ind w:left="0" w:right="0" w:firstLine="0"/>
                      <w:jc w:val="both"/>
                      <w:textAlignment w:val="baseline"/>
                    </w:pPr>
                  </w:p>
                  <w:p w14:paraId="6C69A7A3">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751EA767">
                          <w:pPr>
                            <w:widowControl w:val="0"/>
                            <w:snapToGrid w:val="0"/>
                            <w:spacing w:before="0" w:after="0" w:line="300" w:lineRule="atLeast"/>
                            <w:ind w:left="0" w:right="0" w:firstLine="0"/>
                            <w:jc w:val="center"/>
                            <w:textAlignment w:val="baseline"/>
                          </w:pPr>
                        </w:p>
                        <w:p w14:paraId="67AF4C0A">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7" o:spid="_x0000_s1026" o:spt="202" type="#_x0000_t202" style="position:absolute;left:0pt;margin-left:28.3pt;margin-top:817.2pt;height:14.15pt;width:1133pt;mso-position-horizontal-relative:page;mso-position-vertical-relative:page;z-index:-251652096;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hgPdoAAAANAQAA&#10;DwAAAAAAAAABACAAAAAiAAAAZHJzL2Rvd25yZXYueG1sUEsBAhQAFAAAAAgAh07iQEcOM7IXAgAA&#10;HQQAAA4AAAAAAAAAAQAgAAAAKQEAAGRycy9lMm9Eb2MueG1sUEsFBgAAAAAGAAYAWQEAALIFAAAA&#10;AA==&#10;">
              <v:fill on="f" focussize="0,0"/>
              <v:stroke on="f"/>
              <v:imagedata o:title=""/>
              <o:lock v:ext="edit" aspectratio="f"/>
              <v:shadow on="t" color="#A0A0A4" offset="0pt,0pt" origin="0f,0f" matrix="65536f,0f,0f,65536f"/>
              <v:textbox inset="2.83456692913386pt,0mm,2.83456692913386pt,1.41724409448819pt">
                <w:txbxContent>
                  <w:p w14:paraId="751EA767">
                    <w:pPr>
                      <w:widowControl w:val="0"/>
                      <w:snapToGrid w:val="0"/>
                      <w:spacing w:before="0" w:after="0" w:line="300" w:lineRule="atLeast"/>
                      <w:ind w:left="0" w:right="0" w:firstLine="0"/>
                      <w:jc w:val="center"/>
                      <w:textAlignment w:val="baseline"/>
                    </w:pPr>
                  </w:p>
                  <w:p w14:paraId="67AF4C0A">
                    <w:pPr>
                      <w:widowControl w:val="0"/>
                      <w:snapToGrid w:val="0"/>
                      <w:spacing w:before="0" w:after="0" w:line="328" w:lineRule="atLeast"/>
                      <w:ind w:left="0" w:right="0" w:firstLine="0"/>
                      <w:jc w:val="both"/>
                      <w:textAlignment w:val="baseline"/>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C632">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59264"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28.3pt;margin-top:14.15pt;height:10.45pt;width:1133.85pt;mso-position-horizontal-relative:page;mso-position-vertical-relative:page;z-index:-251657216;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jT3M9cAAAAJAQAADwAAAAAAAAABACAAAAAi&#10;AAAAZHJzL2Rvd25yZXYueG1sUEsBAhQAFAAAAAgAh07iQPN4wI4LAgAABgQAAA4AAAAAAAAAAQAg&#10;AAAAJg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4FC5FF1C">
                          <w:pPr>
                            <w:widowControl w:val="0"/>
                            <w:snapToGrid w:val="0"/>
                            <w:spacing w:before="0" w:after="0" w:line="300" w:lineRule="atLeast"/>
                            <w:ind w:left="0" w:right="0" w:firstLine="0"/>
                            <w:jc w:val="both"/>
                            <w:textAlignment w:val="baseline"/>
                          </w:pPr>
                        </w:p>
                        <w:p w14:paraId="584973DF">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3" o:spid="_x0000_s1026" o:spt="202" type="#_x0000_t202" style="position:absolute;left:0pt;margin-left:28.3pt;margin-top:14.15pt;height:14.15pt;width:1133pt;mso-position-horizontal-relative:page;mso-position-vertical-relative:page;z-index:-251656192;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uCgZAh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14:paraId="4FC5FF1C">
                    <w:pPr>
                      <w:widowControl w:val="0"/>
                      <w:snapToGrid w:val="0"/>
                      <w:spacing w:before="0" w:after="0" w:line="300" w:lineRule="atLeast"/>
                      <w:ind w:left="0" w:right="0" w:firstLine="0"/>
                      <w:jc w:val="both"/>
                      <w:textAlignment w:val="baseline"/>
                    </w:pPr>
                  </w:p>
                  <w:p w14:paraId="584973DF">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29929878">
                          <w:pPr>
                            <w:widowControl w:val="0"/>
                            <w:snapToGrid w:val="0"/>
                            <w:spacing w:before="0" w:after="0" w:line="300" w:lineRule="atLeast"/>
                            <w:ind w:left="0" w:right="0" w:firstLine="0"/>
                            <w:jc w:val="center"/>
                            <w:textAlignment w:val="baseline"/>
                          </w:pPr>
                        </w:p>
                        <w:p w14:paraId="2E79A892">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4" o:spid="_x0000_s1026" o:spt="202" type="#_x0000_t202" style="position:absolute;left:0pt;margin-left:28.3pt;margin-top:817.2pt;height:14.15pt;width:1133pt;mso-position-horizontal-relative:page;mso-position-vertical-relative:page;z-index:-251655168;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AYYD3aAAAADQEA&#10;AA8AAAAAAAAAAQAgAAAAIgAAAGRycy9kb3ducmV2LnhtbFBLAQIUABQAAAAIAIdO4kC0KzqHGAIA&#10;AB0EAAAOAAAAAAAAAAEAIAAAACkBAABkcnMvZTJvRG9jLnhtbFBLBQYAAAAABgAGAFkBAACzBQAA&#10;AAA=&#10;">
              <v:fill on="f" focussize="0,0"/>
              <v:stroke on="f"/>
              <v:imagedata o:title=""/>
              <o:lock v:ext="edit" aspectratio="f"/>
              <v:shadow on="t" color="#A0A0A4" offset="0pt,0pt" origin="0f,0f" matrix="65536f,0f,0f,65536f"/>
              <v:textbox inset="2.83456692913386pt,0mm,2.83456692913386pt,1.41724409448819pt">
                <w:txbxContent>
                  <w:p w14:paraId="29929878">
                    <w:pPr>
                      <w:widowControl w:val="0"/>
                      <w:snapToGrid w:val="0"/>
                      <w:spacing w:before="0" w:after="0" w:line="300" w:lineRule="atLeast"/>
                      <w:ind w:left="0" w:right="0" w:firstLine="0"/>
                      <w:jc w:val="center"/>
                      <w:textAlignment w:val="baseline"/>
                    </w:pPr>
                  </w:p>
                  <w:p w14:paraId="2E79A892">
                    <w:pPr>
                      <w:widowControl w:val="0"/>
                      <w:snapToGrid w:val="0"/>
                      <w:spacing w:before="0" w:after="0" w:line="328" w:lineRule="atLeast"/>
                      <w:ind w:left="0" w:right="0" w:firstLine="0"/>
                      <w:jc w:val="both"/>
                      <w:textAlignment w:val="baseline"/>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4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B9AA"/>
    <w:multiLevelType w:val="singleLevel"/>
    <w:tmpl w:val="161DB9AA"/>
    <w:lvl w:ilvl="0" w:tentative="0">
      <w:start w:val="1"/>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93"/>
  <w:bordersDoNotSurroundHeader w:val="1"/>
  <w:bordersDoNotSurroundFooter w:val="1"/>
  <w:documentProtection w:enforcement="0"/>
  <w:defaultTabStop w:val="420"/>
  <w:hyphenationZone w:val="360"/>
  <w:evenAndOddHeaders w:val="1"/>
  <w:displayHorizontalDrawingGridEvery w:val="1"/>
  <w:displayVerticalDrawingGridEvery w:val="1"/>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Y2I4NzlkNTgwOTJhYmUyZjU5ZTgwZDAxODhjMTgifQ=="/>
  </w:docVars>
  <w:rsids>
    <w:rsidRoot w:val="00000000"/>
    <w:rsid w:val="00DA5C53"/>
    <w:rsid w:val="0119677B"/>
    <w:rsid w:val="016D66EF"/>
    <w:rsid w:val="01A9626A"/>
    <w:rsid w:val="030740E7"/>
    <w:rsid w:val="043B2EAD"/>
    <w:rsid w:val="04A66578"/>
    <w:rsid w:val="04B862AB"/>
    <w:rsid w:val="04C56EE8"/>
    <w:rsid w:val="04E377CC"/>
    <w:rsid w:val="04F25C61"/>
    <w:rsid w:val="04FE63B4"/>
    <w:rsid w:val="05025778"/>
    <w:rsid w:val="05291B24"/>
    <w:rsid w:val="05900FD6"/>
    <w:rsid w:val="061D6D0E"/>
    <w:rsid w:val="063A31FE"/>
    <w:rsid w:val="064222D0"/>
    <w:rsid w:val="066606B5"/>
    <w:rsid w:val="066C559F"/>
    <w:rsid w:val="06D51397"/>
    <w:rsid w:val="07707311"/>
    <w:rsid w:val="07C531B9"/>
    <w:rsid w:val="08843074"/>
    <w:rsid w:val="088524CD"/>
    <w:rsid w:val="092C16B7"/>
    <w:rsid w:val="0947154D"/>
    <w:rsid w:val="097E5D15"/>
    <w:rsid w:val="09B25748"/>
    <w:rsid w:val="09DD0C44"/>
    <w:rsid w:val="0A00672A"/>
    <w:rsid w:val="0A782150"/>
    <w:rsid w:val="0A8D3D36"/>
    <w:rsid w:val="0C3721AC"/>
    <w:rsid w:val="0C5B233E"/>
    <w:rsid w:val="0CA851E5"/>
    <w:rsid w:val="0CC53C5B"/>
    <w:rsid w:val="0D786F20"/>
    <w:rsid w:val="0DFC18FF"/>
    <w:rsid w:val="0E202080"/>
    <w:rsid w:val="0E5957AD"/>
    <w:rsid w:val="0E76271F"/>
    <w:rsid w:val="0F1D38DB"/>
    <w:rsid w:val="0F595D93"/>
    <w:rsid w:val="0F5E5B31"/>
    <w:rsid w:val="0FB6788B"/>
    <w:rsid w:val="10120F66"/>
    <w:rsid w:val="11410EFB"/>
    <w:rsid w:val="11940AC6"/>
    <w:rsid w:val="11E92261"/>
    <w:rsid w:val="12095D78"/>
    <w:rsid w:val="12371157"/>
    <w:rsid w:val="12665599"/>
    <w:rsid w:val="12B409FA"/>
    <w:rsid w:val="12E57628"/>
    <w:rsid w:val="134A2C17"/>
    <w:rsid w:val="146076BE"/>
    <w:rsid w:val="14721267"/>
    <w:rsid w:val="14740441"/>
    <w:rsid w:val="14D233B9"/>
    <w:rsid w:val="16796B7A"/>
    <w:rsid w:val="169C77DB"/>
    <w:rsid w:val="16D276A1"/>
    <w:rsid w:val="17171612"/>
    <w:rsid w:val="176612B1"/>
    <w:rsid w:val="18137F71"/>
    <w:rsid w:val="1834640C"/>
    <w:rsid w:val="184B770B"/>
    <w:rsid w:val="1879095B"/>
    <w:rsid w:val="19B601F7"/>
    <w:rsid w:val="1A363D80"/>
    <w:rsid w:val="1A5A1E87"/>
    <w:rsid w:val="1A9D53B2"/>
    <w:rsid w:val="1AC90996"/>
    <w:rsid w:val="1AF20311"/>
    <w:rsid w:val="1B356450"/>
    <w:rsid w:val="1B66485B"/>
    <w:rsid w:val="1BEA723A"/>
    <w:rsid w:val="1D40658B"/>
    <w:rsid w:val="1DDD31BF"/>
    <w:rsid w:val="1E9439C2"/>
    <w:rsid w:val="1EA872B6"/>
    <w:rsid w:val="1F615A66"/>
    <w:rsid w:val="1F737547"/>
    <w:rsid w:val="1FE757D2"/>
    <w:rsid w:val="20017FB1"/>
    <w:rsid w:val="20D858B3"/>
    <w:rsid w:val="217C0935"/>
    <w:rsid w:val="21AA1FE8"/>
    <w:rsid w:val="21BF4CC5"/>
    <w:rsid w:val="21F66939"/>
    <w:rsid w:val="22001010"/>
    <w:rsid w:val="222A0391"/>
    <w:rsid w:val="22596EC8"/>
    <w:rsid w:val="232A43C0"/>
    <w:rsid w:val="233319DF"/>
    <w:rsid w:val="240D1D18"/>
    <w:rsid w:val="2432177F"/>
    <w:rsid w:val="247104F9"/>
    <w:rsid w:val="25290CF0"/>
    <w:rsid w:val="25667EAE"/>
    <w:rsid w:val="25AB7A3A"/>
    <w:rsid w:val="26235823"/>
    <w:rsid w:val="264D464E"/>
    <w:rsid w:val="26940AB2"/>
    <w:rsid w:val="26EE01F6"/>
    <w:rsid w:val="294A756A"/>
    <w:rsid w:val="29DA08EE"/>
    <w:rsid w:val="2A4B21B4"/>
    <w:rsid w:val="2AA131BA"/>
    <w:rsid w:val="2BC974E5"/>
    <w:rsid w:val="2C697D08"/>
    <w:rsid w:val="2C714E0E"/>
    <w:rsid w:val="2C7216FE"/>
    <w:rsid w:val="2CAB07CF"/>
    <w:rsid w:val="2DA76D39"/>
    <w:rsid w:val="2DE55AB4"/>
    <w:rsid w:val="2E3C45F7"/>
    <w:rsid w:val="2E5F1D36"/>
    <w:rsid w:val="2EA80FBB"/>
    <w:rsid w:val="2F125679"/>
    <w:rsid w:val="2FC82F97"/>
    <w:rsid w:val="30105B83"/>
    <w:rsid w:val="304765B2"/>
    <w:rsid w:val="30923945"/>
    <w:rsid w:val="313A1C72"/>
    <w:rsid w:val="31927D00"/>
    <w:rsid w:val="3281224F"/>
    <w:rsid w:val="32E7159B"/>
    <w:rsid w:val="33184235"/>
    <w:rsid w:val="331F16BF"/>
    <w:rsid w:val="33A73DE7"/>
    <w:rsid w:val="33FD3B57"/>
    <w:rsid w:val="34BE3B67"/>
    <w:rsid w:val="352769B2"/>
    <w:rsid w:val="35DE52C2"/>
    <w:rsid w:val="35E52ACA"/>
    <w:rsid w:val="36987477"/>
    <w:rsid w:val="36E44B5A"/>
    <w:rsid w:val="379C71E3"/>
    <w:rsid w:val="379E73FF"/>
    <w:rsid w:val="382304D3"/>
    <w:rsid w:val="38AC22F8"/>
    <w:rsid w:val="397877DC"/>
    <w:rsid w:val="3A137505"/>
    <w:rsid w:val="3A8328DC"/>
    <w:rsid w:val="3AB42654"/>
    <w:rsid w:val="3AEB44A9"/>
    <w:rsid w:val="3B1874C8"/>
    <w:rsid w:val="3B554279"/>
    <w:rsid w:val="3D230606"/>
    <w:rsid w:val="3D95543D"/>
    <w:rsid w:val="3DEB206F"/>
    <w:rsid w:val="3EC75FB9"/>
    <w:rsid w:val="3FC714BD"/>
    <w:rsid w:val="3FF027C2"/>
    <w:rsid w:val="401B7113"/>
    <w:rsid w:val="40896772"/>
    <w:rsid w:val="4122014D"/>
    <w:rsid w:val="419378A9"/>
    <w:rsid w:val="41E77480"/>
    <w:rsid w:val="41FD13CB"/>
    <w:rsid w:val="42360234"/>
    <w:rsid w:val="427176C4"/>
    <w:rsid w:val="433B6C22"/>
    <w:rsid w:val="433C5D1E"/>
    <w:rsid w:val="436804BC"/>
    <w:rsid w:val="437E77E0"/>
    <w:rsid w:val="43AA2C88"/>
    <w:rsid w:val="44E64193"/>
    <w:rsid w:val="44FF3310"/>
    <w:rsid w:val="45303661"/>
    <w:rsid w:val="45DF19DF"/>
    <w:rsid w:val="46F4770B"/>
    <w:rsid w:val="4760647F"/>
    <w:rsid w:val="47E262FE"/>
    <w:rsid w:val="480A2F74"/>
    <w:rsid w:val="49066BB2"/>
    <w:rsid w:val="49B4660E"/>
    <w:rsid w:val="4A0E6CF5"/>
    <w:rsid w:val="4A2C089A"/>
    <w:rsid w:val="4AA46683"/>
    <w:rsid w:val="4B125B50"/>
    <w:rsid w:val="4B9B37A9"/>
    <w:rsid w:val="4BEB208F"/>
    <w:rsid w:val="4C133CD2"/>
    <w:rsid w:val="4C365A00"/>
    <w:rsid w:val="4CBF59F6"/>
    <w:rsid w:val="4CEB6639"/>
    <w:rsid w:val="4CF41E46"/>
    <w:rsid w:val="4D0C050F"/>
    <w:rsid w:val="4D8C1650"/>
    <w:rsid w:val="4D9F75D5"/>
    <w:rsid w:val="4DB7491F"/>
    <w:rsid w:val="4DD454D1"/>
    <w:rsid w:val="4DDF6BC4"/>
    <w:rsid w:val="4E0538DC"/>
    <w:rsid w:val="4E0B07C7"/>
    <w:rsid w:val="4E6A1991"/>
    <w:rsid w:val="4EC5306C"/>
    <w:rsid w:val="4EC866B8"/>
    <w:rsid w:val="4F1922A0"/>
    <w:rsid w:val="4F3102E3"/>
    <w:rsid w:val="4F5670C2"/>
    <w:rsid w:val="4FB8672C"/>
    <w:rsid w:val="514E556D"/>
    <w:rsid w:val="51AC0513"/>
    <w:rsid w:val="529203F6"/>
    <w:rsid w:val="52952D55"/>
    <w:rsid w:val="52B150B2"/>
    <w:rsid w:val="530323B4"/>
    <w:rsid w:val="53163E96"/>
    <w:rsid w:val="53654E1D"/>
    <w:rsid w:val="53AA375B"/>
    <w:rsid w:val="53E144A4"/>
    <w:rsid w:val="54316AAD"/>
    <w:rsid w:val="54774E08"/>
    <w:rsid w:val="54D36EE0"/>
    <w:rsid w:val="54D54865"/>
    <w:rsid w:val="55110DB9"/>
    <w:rsid w:val="55296914"/>
    <w:rsid w:val="55452810"/>
    <w:rsid w:val="55C7171A"/>
    <w:rsid w:val="55E71250"/>
    <w:rsid w:val="56186177"/>
    <w:rsid w:val="56A00027"/>
    <w:rsid w:val="56D0237A"/>
    <w:rsid w:val="574909BC"/>
    <w:rsid w:val="57503E2F"/>
    <w:rsid w:val="57805D82"/>
    <w:rsid w:val="57A001D2"/>
    <w:rsid w:val="58160494"/>
    <w:rsid w:val="582538C7"/>
    <w:rsid w:val="5838665C"/>
    <w:rsid w:val="58883EB0"/>
    <w:rsid w:val="58F34DA9"/>
    <w:rsid w:val="5A0A04CC"/>
    <w:rsid w:val="5AC154D7"/>
    <w:rsid w:val="5B0B2921"/>
    <w:rsid w:val="5C4C6B7A"/>
    <w:rsid w:val="5C514191"/>
    <w:rsid w:val="5C78171D"/>
    <w:rsid w:val="5C983B6D"/>
    <w:rsid w:val="5CB14C2F"/>
    <w:rsid w:val="5CDD34ED"/>
    <w:rsid w:val="5D551A5E"/>
    <w:rsid w:val="5D635F29"/>
    <w:rsid w:val="5D683540"/>
    <w:rsid w:val="5DBC7B57"/>
    <w:rsid w:val="5E6F4DA2"/>
    <w:rsid w:val="5FA62FB7"/>
    <w:rsid w:val="5FBA3DFB"/>
    <w:rsid w:val="5FEC7E3D"/>
    <w:rsid w:val="606A3A73"/>
    <w:rsid w:val="609760D9"/>
    <w:rsid w:val="60A70823"/>
    <w:rsid w:val="60BD50DF"/>
    <w:rsid w:val="60C42E38"/>
    <w:rsid w:val="60F4333C"/>
    <w:rsid w:val="614C6420"/>
    <w:rsid w:val="615F10FE"/>
    <w:rsid w:val="61646714"/>
    <w:rsid w:val="626F709C"/>
    <w:rsid w:val="628F72C6"/>
    <w:rsid w:val="62D913F6"/>
    <w:rsid w:val="63BF764C"/>
    <w:rsid w:val="63C01EF6"/>
    <w:rsid w:val="646A2293"/>
    <w:rsid w:val="65240694"/>
    <w:rsid w:val="653A412A"/>
    <w:rsid w:val="65756EB2"/>
    <w:rsid w:val="66170870"/>
    <w:rsid w:val="66201F1C"/>
    <w:rsid w:val="66E55C01"/>
    <w:rsid w:val="672E57FA"/>
    <w:rsid w:val="673D77EB"/>
    <w:rsid w:val="674C3ED2"/>
    <w:rsid w:val="6759214B"/>
    <w:rsid w:val="67B01D5F"/>
    <w:rsid w:val="67E662B3"/>
    <w:rsid w:val="68242759"/>
    <w:rsid w:val="68820F72"/>
    <w:rsid w:val="68CF6B69"/>
    <w:rsid w:val="69D72CCF"/>
    <w:rsid w:val="6A8C2D42"/>
    <w:rsid w:val="6AA87672"/>
    <w:rsid w:val="6AC63F9C"/>
    <w:rsid w:val="6C4B0D8E"/>
    <w:rsid w:val="6C77456B"/>
    <w:rsid w:val="6CDD6ED3"/>
    <w:rsid w:val="6CF611BA"/>
    <w:rsid w:val="6D8B6DD7"/>
    <w:rsid w:val="6E4E22DE"/>
    <w:rsid w:val="6E7D7067"/>
    <w:rsid w:val="6E905BC8"/>
    <w:rsid w:val="6E985C4F"/>
    <w:rsid w:val="6ECB7DD2"/>
    <w:rsid w:val="6EE15E69"/>
    <w:rsid w:val="70622071"/>
    <w:rsid w:val="70891CF3"/>
    <w:rsid w:val="7097101D"/>
    <w:rsid w:val="70E56342"/>
    <w:rsid w:val="70EE754A"/>
    <w:rsid w:val="71035E1E"/>
    <w:rsid w:val="711C66C3"/>
    <w:rsid w:val="71867FE1"/>
    <w:rsid w:val="71B66B18"/>
    <w:rsid w:val="71C325DF"/>
    <w:rsid w:val="71EA2B13"/>
    <w:rsid w:val="71EE4F73"/>
    <w:rsid w:val="72ED47BB"/>
    <w:rsid w:val="737E3665"/>
    <w:rsid w:val="73B9644B"/>
    <w:rsid w:val="73ED549D"/>
    <w:rsid w:val="73FB6A64"/>
    <w:rsid w:val="74071F92"/>
    <w:rsid w:val="74235FBB"/>
    <w:rsid w:val="74E94535"/>
    <w:rsid w:val="75297601"/>
    <w:rsid w:val="758E70D8"/>
    <w:rsid w:val="75D2299C"/>
    <w:rsid w:val="75E654F2"/>
    <w:rsid w:val="75F47C0F"/>
    <w:rsid w:val="761107C1"/>
    <w:rsid w:val="76373F9F"/>
    <w:rsid w:val="76A66428"/>
    <w:rsid w:val="779D1F3E"/>
    <w:rsid w:val="77D73344"/>
    <w:rsid w:val="77F51A1C"/>
    <w:rsid w:val="79202AC9"/>
    <w:rsid w:val="799040F2"/>
    <w:rsid w:val="799314ED"/>
    <w:rsid w:val="79A13C0A"/>
    <w:rsid w:val="79F04B91"/>
    <w:rsid w:val="7AA02113"/>
    <w:rsid w:val="7AE75F94"/>
    <w:rsid w:val="7BE73F3C"/>
    <w:rsid w:val="7C0D1F8B"/>
    <w:rsid w:val="7CA3413D"/>
    <w:rsid w:val="7CA83501"/>
    <w:rsid w:val="7CFD55CD"/>
    <w:rsid w:val="7D1943FF"/>
    <w:rsid w:val="7D4532B4"/>
    <w:rsid w:val="7DA243F4"/>
    <w:rsid w:val="7E730BE8"/>
    <w:rsid w:val="7F432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578"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qFormat/>
    <w:uiPriority w:val="1723"/>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链接"/>
    <w:basedOn w:val="5"/>
    <w:autoRedefine/>
    <w:qFormat/>
    <w:uiPriority w:val="0"/>
    <w:rPr>
      <w:rFonts w:ascii="Times New Roman" w:eastAsia="宋体"/>
      <w:color w:val="0000FF"/>
      <w:sz w:val="21"/>
      <w:u w:val="single" w:color="0000FF"/>
      <w:vertAlign w:val="baseline"/>
      <w:lang w:val="en-US" w:eastAsia="zh-CN"/>
    </w:rPr>
  </w:style>
  <w:style w:type="character" w:customStyle="1" w:styleId="7">
    <w:name w:val="默认段落字体1"/>
    <w:autoRedefine/>
    <w:qFormat/>
    <w:uiPriority w:val="1723"/>
    <w:rPr>
      <w:rFonts w:ascii="Times New Roman" w:eastAsia="宋体"/>
      <w:color w:val="000000"/>
      <w:spacing w:val="0"/>
      <w:w w:val="100"/>
      <w:sz w:val="21"/>
      <w:u w:val="none" w:color="000000"/>
      <w:vertAlign w:val="baseline"/>
      <w:lang w:val="en-US" w:eastAsia="zh-CN"/>
    </w:rPr>
  </w:style>
  <w:style w:type="paragraph" w:customStyle="1" w:styleId="8">
    <w:name w:val="目录2"/>
    <w:basedOn w:val="1"/>
    <w:next w:val="1"/>
    <w:autoRedefine/>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9">
    <w:name w:val="目录 41"/>
    <w:basedOn w:val="1"/>
    <w:next w:val="1"/>
    <w:autoRedefine/>
    <w:qFormat/>
    <w:uiPriority w:val="2"/>
    <w:pPr>
      <w:spacing w:line="476"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
    <w:name w:val="节标题"/>
    <w:basedOn w:val="1"/>
    <w:next w:val="11"/>
    <w:autoRedefine/>
    <w:qFormat/>
    <w:uiPriority w:val="2441"/>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1">
    <w:name w:val="小节标题"/>
    <w:basedOn w:val="1"/>
    <w:next w:val="1"/>
    <w:autoRedefine/>
    <w:qFormat/>
    <w:uiPriority w:val="1664"/>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2">
    <w:name w:val="目录标题"/>
    <w:basedOn w:val="1"/>
    <w:next w:val="1"/>
    <w:autoRedefine/>
    <w:qFormat/>
    <w:uiPriority w:val="1664"/>
    <w:pPr>
      <w:spacing w:before="0" w:after="0" w:line="453" w:lineRule="atLeast"/>
      <w:ind w:firstLine="419"/>
      <w:jc w:val="center"/>
      <w:textAlignment w:val="baseline"/>
    </w:pPr>
    <w:rPr>
      <w:rFonts w:ascii="Arial" w:eastAsia="黑体"/>
      <w:color w:val="000000"/>
      <w:spacing w:val="51"/>
      <w:sz w:val="44"/>
      <w:u w:val="none" w:color="000000"/>
      <w:vertAlign w:val="baseline"/>
      <w:lang w:val="en-US" w:eastAsia="zh-CN"/>
    </w:rPr>
  </w:style>
  <w:style w:type="paragraph" w:customStyle="1" w:styleId="13">
    <w:name w:val="目录 31"/>
    <w:basedOn w:val="1"/>
    <w:next w:val="1"/>
    <w:autoRedefine/>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4">
    <w:name w:val="标题 11"/>
    <w:basedOn w:val="1"/>
    <w:autoRedefine/>
    <w:qFormat/>
    <w:uiPriority w:val="2"/>
    <w:pPr>
      <w:spacing w:before="0" w:after="0"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5">
    <w:name w:val="目录1"/>
    <w:basedOn w:val="1"/>
    <w:next w:val="1"/>
    <w:autoRedefine/>
    <w:qFormat/>
    <w:uiPriority w:val="3"/>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6">
    <w:name w:val="目录4"/>
    <w:basedOn w:val="1"/>
    <w:next w:val="1"/>
    <w:autoRedefine/>
    <w:qFormat/>
    <w:uiPriority w:val="3"/>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7">
    <w:name w:val="标题1"/>
    <w:basedOn w:val="1"/>
    <w:autoRedefine/>
    <w:qFormat/>
    <w:uiPriority w:val="0"/>
    <w:pPr>
      <w:spacing w:before="0" w:after="0" w:line="538" w:lineRule="atLeast"/>
      <w:ind w:firstLine="0"/>
      <w:jc w:val="center"/>
      <w:textAlignment w:val="baseline"/>
    </w:pPr>
    <w:rPr>
      <w:rFonts w:ascii="Arial" w:eastAsia="黑体"/>
      <w:color w:val="000000"/>
      <w:sz w:val="52"/>
      <w:u w:val="none" w:color="000000"/>
      <w:vertAlign w:val="baseline"/>
      <w:lang w:val="en-US" w:eastAsia="zh-CN"/>
    </w:rPr>
  </w:style>
  <w:style w:type="paragraph" w:customStyle="1" w:styleId="18">
    <w:name w:val="标题 31"/>
    <w:basedOn w:val="1"/>
    <w:next w:val="1"/>
    <w:autoRedefine/>
    <w:qFormat/>
    <w:uiPriority w:val="2"/>
    <w:pPr>
      <w:spacing w:before="0" w:after="0"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9">
    <w:name w:val="目录3"/>
    <w:basedOn w:val="1"/>
    <w:next w:val="1"/>
    <w:autoRedefine/>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0">
    <w:name w:val="目录 11"/>
    <w:basedOn w:val="1"/>
    <w:next w:val="1"/>
    <w:autoRedefine/>
    <w:qFormat/>
    <w:uiPriority w:val="2"/>
    <w:pPr>
      <w:spacing w:after="0"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21">
    <w:name w:val="章标题"/>
    <w:basedOn w:val="1"/>
    <w:next w:val="10"/>
    <w:autoRedefine/>
    <w:qFormat/>
    <w:uiPriority w:val="2441"/>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22">
    <w:name w:val="普通表格1"/>
    <w:autoRedefine/>
    <w:qFormat/>
    <w:uiPriority w:val="2182"/>
    <w:pPr>
      <w:spacing w:line="351" w:lineRule="atLeast"/>
      <w:ind w:firstLine="419"/>
      <w:jc w:val="both"/>
      <w:textAlignment w:val="baseline"/>
    </w:pPr>
    <w:rPr>
      <w:rFonts w:ascii="Times New Roman" w:hAnsi="Times New Roman" w:eastAsia="宋体" w:cs="Times New Roman"/>
      <w:color w:val="000000"/>
      <w:sz w:val="21"/>
      <w:u w:val="none" w:color="000000"/>
      <w:vertAlign w:val="baseline"/>
      <w:lang w:val="en-US" w:eastAsia="zh-CN"/>
    </w:rPr>
  </w:style>
  <w:style w:type="paragraph" w:customStyle="1" w:styleId="23">
    <w:name w:val="文章总标题"/>
    <w:basedOn w:val="1"/>
    <w:next w:val="24"/>
    <w:autoRedefine/>
    <w:qFormat/>
    <w:uiPriority w:val="153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24">
    <w:name w:val="文章副标题"/>
    <w:basedOn w:val="1"/>
    <w:next w:val="21"/>
    <w:autoRedefine/>
    <w:qFormat/>
    <w:uiPriority w:val="1318"/>
    <w:pPr>
      <w:spacing w:before="0" w:after="0"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25">
    <w:name w:val="目录 21"/>
    <w:basedOn w:val="1"/>
    <w:next w:val="1"/>
    <w:autoRedefine/>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6">
    <w:name w:val="标题 21"/>
    <w:basedOn w:val="1"/>
    <w:autoRedefine/>
    <w:qFormat/>
    <w:uiPriority w:val="2"/>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27">
    <w:name w:val="WPS Plain"/>
    <w:autoRedefine/>
    <w:qFormat/>
    <w:uiPriority w:val="5"/>
    <w:pPr>
      <w:spacing w:before="0" w:after="0" w:line="425"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2690</Words>
  <Characters>2744</Characters>
  <TotalTime>20</TotalTime>
  <ScaleCrop>false</ScaleCrop>
  <LinksUpToDate>false</LinksUpToDate>
  <CharactersWithSpaces>2951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2018-03-23T02:14:00Z</dcterms:created>
  <dc:creator>Administrator</dc:creator>
  <cp:lastModifiedBy>豆浆油条</cp:lastModifiedBy>
  <cp:lastPrinted>2024-03-19T08:14:00Z</cp:lastPrinted>
  <dcterms:modified xsi:type="dcterms:W3CDTF">2025-04-30T07:16:49Z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EF04B785D8E249C5B6DAE63CFB53E72F_13</vt:lpwstr>
  </property>
  <property fmtid="{D5CDD505-2E9C-101B-9397-08002B2CF9AE}" pid="4" name="KSOTemplateDocerSaveRecord">
    <vt:lpwstr>eyJoZGlkIjoiYmE2Y2I4NzlkNTgwOTJhYmUyZjU5ZTgwZDAxODhjMTgiLCJ1c2VySWQiOiI5NzY0OTAxMzgifQ==</vt:lpwstr>
  </property>
</Properties>
</file>