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DFE2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pacing w:val="-2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双辽市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关于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eastAsia="zh-CN"/>
        </w:rPr>
        <w:t>第二轮省级生态环境督察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反馈问题整改任务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（序号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8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）销号公示表</w:t>
      </w:r>
    </w:p>
    <w:tbl>
      <w:tblPr>
        <w:tblStyle w:val="7"/>
        <w:tblW w:w="13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163"/>
        <w:gridCol w:w="1866"/>
        <w:gridCol w:w="4658"/>
        <w:gridCol w:w="5537"/>
      </w:tblGrid>
      <w:tr w14:paraId="7B28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noWrap w:val="0"/>
            <w:vAlign w:val="center"/>
          </w:tcPr>
          <w:p w14:paraId="465DEBDF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1"/>
              </w:rPr>
              <w:t>清单编号</w:t>
            </w:r>
          </w:p>
        </w:tc>
        <w:tc>
          <w:tcPr>
            <w:tcW w:w="1163" w:type="dxa"/>
            <w:noWrap w:val="0"/>
            <w:vAlign w:val="center"/>
          </w:tcPr>
          <w:p w14:paraId="3B4A4BFD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1"/>
              </w:rPr>
              <w:t>整改问题</w:t>
            </w:r>
          </w:p>
        </w:tc>
        <w:tc>
          <w:tcPr>
            <w:tcW w:w="1866" w:type="dxa"/>
            <w:noWrap w:val="0"/>
            <w:vAlign w:val="center"/>
          </w:tcPr>
          <w:p w14:paraId="505D937C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1"/>
              </w:rPr>
              <w:t>整改目标</w:t>
            </w:r>
          </w:p>
        </w:tc>
        <w:tc>
          <w:tcPr>
            <w:tcW w:w="4658" w:type="dxa"/>
            <w:noWrap w:val="0"/>
            <w:vAlign w:val="center"/>
          </w:tcPr>
          <w:p w14:paraId="337C8308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1"/>
              </w:rPr>
              <w:t>整改措施</w:t>
            </w:r>
          </w:p>
        </w:tc>
        <w:tc>
          <w:tcPr>
            <w:tcW w:w="5537" w:type="dxa"/>
            <w:noWrap w:val="0"/>
            <w:vAlign w:val="center"/>
          </w:tcPr>
          <w:p w14:paraId="34454E07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1"/>
              </w:rPr>
              <w:t>整改任务完成情况</w:t>
            </w:r>
          </w:p>
        </w:tc>
      </w:tr>
      <w:tr w14:paraId="75BC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7" w:hRule="atLeast"/>
          <w:jc w:val="center"/>
        </w:trPr>
        <w:tc>
          <w:tcPr>
            <w:tcW w:w="760" w:type="dxa"/>
            <w:noWrap w:val="0"/>
            <w:vAlign w:val="center"/>
          </w:tcPr>
          <w:p w14:paraId="332D91A2"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163" w:type="dxa"/>
            <w:noWrap w:val="0"/>
            <w:vAlign w:val="center"/>
          </w:tcPr>
          <w:p w14:paraId="27A9C60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eastAsia="zh-CN"/>
              </w:rPr>
              <w:t>管网建设改造严重滞后</w:t>
            </w:r>
          </w:p>
        </w:tc>
        <w:tc>
          <w:tcPr>
            <w:tcW w:w="1866" w:type="dxa"/>
            <w:noWrap w:val="0"/>
            <w:vAlign w:val="center"/>
          </w:tcPr>
          <w:p w14:paraId="7CC0C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eastAsia="zh-CN"/>
              </w:rPr>
              <w:t>加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快雨污分流建设，2025年11月底前，完成全市“十四五”城市污水管网建设改造计划，合流管网占比降至37%，城市污水收集率较2020年提升5个百分点，城市污水处理率达到95%以上。</w:t>
            </w:r>
          </w:p>
        </w:tc>
        <w:tc>
          <w:tcPr>
            <w:tcW w:w="4658" w:type="dxa"/>
            <w:noWrap w:val="0"/>
            <w:vAlign w:val="center"/>
          </w:tcPr>
          <w:p w14:paraId="60B88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1.2022年6月底前，按照上级部署，住建局组织完成市区污水管网建设研判报告，制定“十四五”期间管网建设计划，平均每年改造合流管网5公里，并按照计划实施。</w:t>
            </w:r>
          </w:p>
          <w:p w14:paraId="4D275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2.2022年6月底前，市住建局组织完成全市污水管网和合流制管网建设情况排查，编制完成管网建设及改造计划，并按年度计划实施。</w:t>
            </w:r>
          </w:p>
          <w:p w14:paraId="0CFCB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3.市住建局2022年11月底前，完成雨污分流改造4.4公里，2025年11月底前，完成合流制排水管线改造25公里。</w:t>
            </w:r>
          </w:p>
        </w:tc>
        <w:tc>
          <w:tcPr>
            <w:tcW w:w="5537" w:type="dxa"/>
            <w:noWrap w:val="0"/>
            <w:vAlign w:val="top"/>
          </w:tcPr>
          <w:p w14:paraId="04387CC1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3ED801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1、制定了城区污水管网建设研判报告及“十四五”管网建设计划，每年改造雨污分流管线5公里。</w:t>
            </w:r>
          </w:p>
          <w:p w14:paraId="5813896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2、组织开展城区178公里排水管线排查，并按照管网建设计划实施。       </w:t>
            </w:r>
          </w:p>
          <w:p w14:paraId="5EA95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双辽市“十四五”城市雨污合流改造计划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25公里，完成25.7公里。其中：2021年完成合流制管线改造2.62公里，2022年完成合流制管线改造7.85公里,2023年完成合流制管线改造4.3公里,2024年完成合流制管线改造10.193公里,2025年完成合流制管线改造0.74公里。</w:t>
            </w:r>
          </w:p>
        </w:tc>
      </w:tr>
    </w:tbl>
    <w:p w14:paraId="524A89F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B3C76"/>
    <w:rsid w:val="16DC1D50"/>
    <w:rsid w:val="3FBB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Lines="0" w:afterAutospacing="0" w:line="480" w:lineRule="auto"/>
      <w:ind w:firstLine="883" w:firstLineChars="200"/>
    </w:pPr>
    <w:rPr>
      <w:rFonts w:eastAsia="仿宋_GB2312" w:asciiTheme="minorAscii" w:hAnsiTheme="minorAscii"/>
      <w:sz w:val="32"/>
    </w:rPr>
  </w:style>
  <w:style w:type="paragraph" w:styleId="3">
    <w:name w:val="Normal Indent"/>
    <w:basedOn w:val="1"/>
    <w:unhideWhenUsed/>
    <w:qFormat/>
    <w:uiPriority w:val="99"/>
    <w:pPr>
      <w:ind w:firstLine="567"/>
      <w:jc w:val="left"/>
    </w:pPr>
    <w:rPr>
      <w:sz w:val="28"/>
    </w:rPr>
  </w:style>
  <w:style w:type="paragraph" w:styleId="4">
    <w:name w:val="Body Text Indent"/>
    <w:basedOn w:val="1"/>
    <w:next w:val="3"/>
    <w:unhideWhenUsed/>
    <w:qFormat/>
    <w:uiPriority w:val="99"/>
    <w:pPr>
      <w:ind w:firstLine="570"/>
    </w:pPr>
    <w:rPr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Body Text First Indent 2"/>
    <w:basedOn w:val="4"/>
    <w:next w:val="1"/>
    <w:unhideWhenUsed/>
    <w:qFormat/>
    <w:uiPriority w:val="99"/>
    <w:pPr>
      <w:ind w:firstLine="96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577</Characters>
  <Lines>0</Lines>
  <Paragraphs>0</Paragraphs>
  <TotalTime>0</TotalTime>
  <ScaleCrop>false</ScaleCrop>
  <LinksUpToDate>false</LinksUpToDate>
  <CharactersWithSpaces>584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2025-11-03T05:41:00Z</dcterms:created>
  <dc:creator>静待另一片天</dc:creator>
  <cp:lastModifiedBy>静待另一片天</cp:lastModifiedBy>
  <dcterms:modified xsi:type="dcterms:W3CDTF">2025-11-03T07:25:49Z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C2B75FC5FA25438EAD37EBC51E58480F_11</vt:lpwstr>
  </property>
  <property fmtid="{D5CDD505-2E9C-101B-9397-08002B2CF9AE}" pid="4" name="KSOTemplateDocerSaveRecord">
    <vt:lpwstr>eyJoZGlkIjoiNjNlYTk4NjM3ODc5OTFjYjFhNzZhODVkOGU0Y2Q2OWYiLCJ1c2VySWQiOiIxMTU5NTY3MTkzIn0=</vt:lpwstr>
  </property>
</Properties>
</file>