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1DC85">
      <w:pPr>
        <w:pStyle w:val="2"/>
        <w:keepNext w:val="0"/>
        <w:keepLines w:val="0"/>
        <w:widowControl/>
        <w:suppressLineNumbers w:val="0"/>
        <w:spacing w:before="140" w:beforeAutospacing="0" w:after="140" w:afterAutospacing="0" w:line="30" w:lineRule="atLeast"/>
        <w:ind w:left="0" w:right="0"/>
        <w:jc w:val="center"/>
      </w:pPr>
      <w:r>
        <w:rPr>
          <w:rFonts w:ascii="方正小标宋简体" w:hAnsi="方正小标宋简体" w:eastAsia="方正小标宋简体" w:cs="方正小标宋简体"/>
          <w:b w:val="0"/>
          <w:bCs w:val="0"/>
          <w:i w:val="0"/>
          <w:iCs w:val="0"/>
          <w:color w:val="000000"/>
          <w:spacing w:val="0"/>
          <w:w w:val="100"/>
          <w:sz w:val="44"/>
          <w:szCs w:val="44"/>
          <w:vertAlign w:val="baseline"/>
        </w:rPr>
        <w:t>关于部分检验项目的说明</w:t>
      </w:r>
    </w:p>
    <w:p w14:paraId="3FABE02C">
      <w:pPr>
        <w:pStyle w:val="2"/>
        <w:keepNext w:val="0"/>
        <w:keepLines w:val="0"/>
        <w:widowControl/>
        <w:suppressLineNumbers w:val="0"/>
        <w:spacing w:before="0" w:beforeAutospacing="0" w:after="0" w:afterAutospacing="0" w:line="560" w:lineRule="exact"/>
        <w:ind w:left="0" w:right="0"/>
        <w:jc w:val="center"/>
      </w:pPr>
      <w:r>
        <w:rPr>
          <w:rFonts w:ascii="黑体" w:hAnsi="宋体" w:eastAsia="黑体" w:cs="黑体"/>
          <w:b w:val="0"/>
          <w:bCs w:val="0"/>
          <w:i w:val="0"/>
          <w:iCs w:val="0"/>
          <w:color w:val="000000"/>
          <w:spacing w:val="0"/>
          <w:w w:val="100"/>
          <w:sz w:val="44"/>
          <w:szCs w:val="44"/>
          <w:vertAlign w:val="baseline"/>
          <w:lang w:val="en-US"/>
        </w:rPr>
        <w:t> </w:t>
      </w:r>
    </w:p>
    <w:p w14:paraId="6D4179C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0" w:firstLineChars="200"/>
        <w:jc w:val="left"/>
        <w:textAlignment w:val="auto"/>
        <w:rPr>
          <w:sz w:val="36"/>
          <w:szCs w:val="36"/>
        </w:rPr>
      </w:pPr>
      <w:r>
        <w:rPr>
          <w:rFonts w:hint="eastAsia" w:ascii="黑体" w:hAnsi="宋体" w:eastAsia="黑体" w:cs="黑体"/>
          <w:b w:val="0"/>
          <w:bCs w:val="0"/>
          <w:i w:val="0"/>
          <w:iCs w:val="0"/>
          <w:color w:val="000000"/>
          <w:spacing w:val="0"/>
          <w:w w:val="100"/>
          <w:sz w:val="36"/>
          <w:szCs w:val="36"/>
          <w:vertAlign w:val="baseline"/>
        </w:rPr>
        <w:t>生产环节</w:t>
      </w:r>
    </w:p>
    <w:p w14:paraId="7AB20F3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3" w:firstLineChars="200"/>
        <w:jc w:val="both"/>
        <w:textAlignment w:val="auto"/>
        <w:rPr>
          <w:sz w:val="36"/>
          <w:szCs w:val="36"/>
        </w:rPr>
      </w:pPr>
      <w:r>
        <w:rPr>
          <w:rFonts w:ascii="楷体" w:hAnsi="楷体" w:eastAsia="楷体" w:cs="楷体"/>
          <w:b/>
          <w:bCs/>
          <w:i w:val="0"/>
          <w:iCs w:val="0"/>
          <w:color w:val="000000"/>
          <w:spacing w:val="0"/>
          <w:w w:val="100"/>
          <w:sz w:val="36"/>
          <w:szCs w:val="36"/>
          <w:vertAlign w:val="baseline"/>
        </w:rPr>
        <w:t>（一）饮料</w:t>
      </w:r>
    </w:p>
    <w:p w14:paraId="597232F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3" w:firstLineChars="200"/>
        <w:jc w:val="both"/>
        <w:textAlignment w:val="auto"/>
        <w:rPr>
          <w:sz w:val="36"/>
          <w:szCs w:val="36"/>
        </w:rPr>
      </w:pPr>
      <w:r>
        <w:rPr>
          <w:rFonts w:ascii="仿宋_GB2312" w:eastAsia="仿宋_GB2312" w:cs="仿宋_GB2312"/>
          <w:b/>
          <w:bCs/>
          <w:i w:val="0"/>
          <w:iCs w:val="0"/>
          <w:color w:val="000000"/>
          <w:spacing w:val="0"/>
          <w:w w:val="100"/>
          <w:sz w:val="36"/>
          <w:szCs w:val="36"/>
          <w:vertAlign w:val="baseline"/>
        </w:rPr>
        <w:t>1.不合格项目</w:t>
      </w:r>
    </w:p>
    <w:p w14:paraId="5052DA4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0" w:firstLineChars="200"/>
        <w:jc w:val="both"/>
        <w:textAlignment w:val="auto"/>
        <w:rPr>
          <w:b w:val="0"/>
          <w:bCs w:val="0"/>
          <w:sz w:val="36"/>
          <w:szCs w:val="36"/>
        </w:rPr>
      </w:pPr>
      <w:r>
        <w:rPr>
          <w:rFonts w:ascii="仿宋" w:hAnsi="仿宋" w:eastAsia="仿宋" w:cs="仿宋"/>
          <w:b w:val="0"/>
          <w:bCs w:val="0"/>
          <w:i w:val="0"/>
          <w:iCs w:val="0"/>
          <w:color w:val="000000"/>
          <w:spacing w:val="0"/>
          <w:w w:val="100"/>
          <w:sz w:val="36"/>
          <w:szCs w:val="36"/>
          <w:vertAlign w:val="baseline"/>
        </w:rPr>
        <w:t>（1）铜绿假单胞菌</w:t>
      </w:r>
    </w:p>
    <w:p w14:paraId="686060E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0" w:firstLineChars="200"/>
        <w:jc w:val="left"/>
        <w:textAlignment w:val="auto"/>
        <w:rPr>
          <w:sz w:val="36"/>
          <w:szCs w:val="36"/>
        </w:rPr>
      </w:pPr>
      <w:r>
        <w:rPr>
          <w:rFonts w:hint="eastAsia" w:ascii="仿宋" w:hAnsi="仿宋" w:eastAsia="仿宋" w:cs="仿宋"/>
          <w:b w:val="0"/>
          <w:bCs w:val="0"/>
          <w:i w:val="0"/>
          <w:iCs w:val="0"/>
          <w:color w:val="000000"/>
          <w:spacing w:val="0"/>
          <w:w w:val="100"/>
          <w:sz w:val="36"/>
          <w:szCs w:val="36"/>
          <w:vertAlign w:val="baseline"/>
        </w:rPr>
        <w:t>铜绿假单胞菌是一种常见的革兰氏阴性条件致病菌，广泛分布于水、土壤、空气及物体表面等自然环境中，对外界环境的抵抗力较强，是衡量饮用水卫生状况的重要指示菌。饮用水中检出铜绿假单胞菌，往往提示水源或生产环节存在卫生缺陷，可能伴随其他致病菌污染的风险。免疫力较低的人群饮用后，可能引起急性肠道不适等症状，严重时还可能引发皮肤、耳部等部位的感染。包装饮用水中检出铜绿假单胞菌，可能是水源水防护不严受到污染，也可能是生产过程中过滤、消毒等杀菌工艺控制不到位，或者输水管路、灌装设备、包装材料清洗消毒不彻底所致。</w:t>
      </w:r>
    </w:p>
    <w:p w14:paraId="6DF9271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0" w:firstLineChars="200"/>
        <w:jc w:val="left"/>
        <w:textAlignment w:val="auto"/>
        <w:rPr>
          <w:rFonts w:hint="eastAsia" w:ascii="黑体" w:hAnsi="宋体" w:eastAsia="黑体" w:cs="黑体"/>
          <w:b w:val="0"/>
          <w:bCs w:val="0"/>
          <w:i w:val="0"/>
          <w:iCs w:val="0"/>
          <w:color w:val="000000"/>
          <w:spacing w:val="0"/>
          <w:w w:val="100"/>
          <w:sz w:val="36"/>
          <w:szCs w:val="36"/>
          <w:vertAlign w:val="baseline"/>
        </w:rPr>
      </w:pPr>
    </w:p>
    <w:p w14:paraId="3BA73A63">
      <w:pPr>
        <w:rPr>
          <w:rFonts w:hint="eastAsia" w:ascii="黑体" w:hAnsi="宋体" w:eastAsia="黑体" w:cs="黑体"/>
          <w:b w:val="0"/>
          <w:bCs w:val="0"/>
          <w:i w:val="0"/>
          <w:iCs w:val="0"/>
          <w:color w:val="000000"/>
          <w:spacing w:val="0"/>
          <w:w w:val="100"/>
          <w:sz w:val="36"/>
          <w:szCs w:val="36"/>
          <w:vertAlign w:val="baseline"/>
        </w:rPr>
      </w:pPr>
      <w:r>
        <w:rPr>
          <w:rFonts w:hint="eastAsia" w:ascii="黑体" w:hAnsi="宋体" w:eastAsia="黑体" w:cs="黑体"/>
          <w:b w:val="0"/>
          <w:bCs w:val="0"/>
          <w:i w:val="0"/>
          <w:iCs w:val="0"/>
          <w:color w:val="000000"/>
          <w:spacing w:val="0"/>
          <w:w w:val="100"/>
          <w:sz w:val="36"/>
          <w:szCs w:val="36"/>
          <w:vertAlign w:val="baseline"/>
        </w:rPr>
        <w:br w:type="page"/>
      </w:r>
    </w:p>
    <w:p w14:paraId="7B8737A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0" w:firstLineChars="200"/>
        <w:jc w:val="left"/>
        <w:textAlignment w:val="auto"/>
        <w:rPr>
          <w:sz w:val="36"/>
          <w:szCs w:val="36"/>
        </w:rPr>
      </w:pPr>
      <w:bookmarkStart w:id="0" w:name="_GoBack"/>
      <w:bookmarkEnd w:id="0"/>
      <w:r>
        <w:rPr>
          <w:rFonts w:hint="eastAsia" w:ascii="黑体" w:hAnsi="宋体" w:eastAsia="黑体" w:cs="黑体"/>
          <w:b w:val="0"/>
          <w:bCs w:val="0"/>
          <w:i w:val="0"/>
          <w:iCs w:val="0"/>
          <w:color w:val="000000"/>
          <w:spacing w:val="0"/>
          <w:w w:val="100"/>
          <w:sz w:val="36"/>
          <w:szCs w:val="36"/>
          <w:vertAlign w:val="baseline"/>
        </w:rPr>
        <w:t>流通环节</w:t>
      </w:r>
    </w:p>
    <w:p w14:paraId="580206A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3" w:firstLineChars="200"/>
        <w:jc w:val="both"/>
        <w:textAlignment w:val="auto"/>
        <w:rPr>
          <w:sz w:val="36"/>
          <w:szCs w:val="36"/>
        </w:rPr>
      </w:pPr>
      <w:r>
        <w:rPr>
          <w:rFonts w:hint="eastAsia" w:ascii="楷体" w:hAnsi="楷体" w:eastAsia="楷体" w:cs="楷体"/>
          <w:b/>
          <w:bCs/>
          <w:i w:val="0"/>
          <w:iCs w:val="0"/>
          <w:color w:val="000000"/>
          <w:spacing w:val="0"/>
          <w:w w:val="100"/>
          <w:sz w:val="36"/>
          <w:szCs w:val="36"/>
          <w:vertAlign w:val="baseline"/>
        </w:rPr>
        <w:t>（一）食用农产品</w:t>
      </w:r>
    </w:p>
    <w:p w14:paraId="2A335E7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3" w:firstLineChars="200"/>
        <w:jc w:val="both"/>
        <w:textAlignment w:val="auto"/>
        <w:rPr>
          <w:sz w:val="36"/>
          <w:szCs w:val="36"/>
        </w:rPr>
      </w:pPr>
      <w:r>
        <w:rPr>
          <w:rFonts w:hint="eastAsia" w:ascii="仿宋" w:hAnsi="仿宋" w:eastAsia="仿宋" w:cs="仿宋"/>
          <w:b/>
          <w:bCs/>
          <w:i w:val="0"/>
          <w:iCs w:val="0"/>
          <w:color w:val="000000"/>
          <w:spacing w:val="0"/>
          <w:w w:val="100"/>
          <w:sz w:val="36"/>
          <w:szCs w:val="36"/>
          <w:vertAlign w:val="baseline"/>
        </w:rPr>
        <w:t>1.不合格项目</w:t>
      </w:r>
    </w:p>
    <w:p w14:paraId="513E3C3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3" w:firstLineChars="200"/>
        <w:jc w:val="both"/>
        <w:textAlignment w:val="auto"/>
        <w:rPr>
          <w:sz w:val="36"/>
          <w:szCs w:val="36"/>
        </w:rPr>
      </w:pPr>
      <w:r>
        <w:rPr>
          <w:rFonts w:hint="eastAsia" w:ascii="仿宋" w:hAnsi="仿宋" w:eastAsia="仿宋" w:cs="仿宋"/>
          <w:b/>
          <w:bCs/>
          <w:i w:val="0"/>
          <w:iCs w:val="0"/>
          <w:color w:val="000000"/>
          <w:spacing w:val="0"/>
          <w:w w:val="100"/>
          <w:sz w:val="36"/>
          <w:szCs w:val="36"/>
          <w:vertAlign w:val="baseline"/>
        </w:rPr>
        <w:t>（1）噻虫胺</w:t>
      </w:r>
    </w:p>
    <w:p w14:paraId="7E43262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0" w:firstLineChars="200"/>
        <w:jc w:val="both"/>
        <w:textAlignment w:val="auto"/>
        <w:rPr>
          <w:sz w:val="36"/>
          <w:szCs w:val="36"/>
        </w:rPr>
      </w:pPr>
      <w:r>
        <w:rPr>
          <w:rFonts w:hint="eastAsia" w:ascii="仿宋" w:hAnsi="仿宋" w:eastAsia="仿宋" w:cs="仿宋"/>
          <w:b w:val="0"/>
          <w:bCs w:val="0"/>
          <w:i w:val="0"/>
          <w:iCs w:val="0"/>
          <w:color w:val="000000"/>
          <w:spacing w:val="0"/>
          <w:w w:val="100"/>
          <w:sz w:val="36"/>
          <w:szCs w:val="36"/>
          <w:vertAlign w:val="baseline"/>
        </w:rPr>
        <w:t>噻虫胺是一种新烟碱类广谱杀虫剂，具有触杀、胃毒和内吸作用，主要用于防治蚜虫、飞虱、蓟马等刺吸式口器害虫。少量的农药残留不会引起人体急性中毒，但长期食用噻虫胺超标的食品，对人体健康可能有一定影响。食用农产品中噻虫胺超标的主要原因可能是蔬菜种植过程中为控制虫害超量使用农药，或未遵守采收安全间隔期。</w:t>
      </w:r>
    </w:p>
    <w:p w14:paraId="76C7E08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3" w:firstLineChars="200"/>
        <w:jc w:val="both"/>
        <w:textAlignment w:val="auto"/>
        <w:rPr>
          <w:sz w:val="36"/>
          <w:szCs w:val="36"/>
        </w:rPr>
      </w:pPr>
      <w:r>
        <w:rPr>
          <w:rFonts w:hint="eastAsia" w:ascii="仿宋" w:hAnsi="仿宋" w:eastAsia="仿宋" w:cs="仿宋"/>
          <w:b/>
          <w:bCs/>
          <w:i w:val="0"/>
          <w:iCs w:val="0"/>
          <w:color w:val="000000"/>
          <w:spacing w:val="0"/>
          <w:w w:val="100"/>
          <w:sz w:val="36"/>
          <w:szCs w:val="36"/>
          <w:vertAlign w:val="baseline"/>
        </w:rPr>
        <w:t>（2）噻虫嗪</w:t>
      </w:r>
    </w:p>
    <w:p w14:paraId="30D18A8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720" w:firstLineChars="200"/>
        <w:jc w:val="both"/>
        <w:textAlignment w:val="auto"/>
        <w:rPr>
          <w:sz w:val="36"/>
          <w:szCs w:val="36"/>
        </w:rPr>
      </w:pPr>
      <w:r>
        <w:rPr>
          <w:rFonts w:hint="eastAsia" w:ascii="仿宋" w:hAnsi="仿宋" w:eastAsia="仿宋" w:cs="仿宋"/>
          <w:b w:val="0"/>
          <w:bCs w:val="0"/>
          <w:i w:val="0"/>
          <w:iCs w:val="0"/>
          <w:color w:val="000000"/>
          <w:spacing w:val="0"/>
          <w:w w:val="100"/>
          <w:sz w:val="36"/>
          <w:szCs w:val="36"/>
          <w:vertAlign w:val="baseline"/>
        </w:rPr>
        <w:t>噻虫嗪与噻虫胺同属新烟碱类杀虫剂，具有胃毒、触杀及内吸作用，主要用于防治蚜虫、飞虱等刺吸式口器害虫，在植物体内可代谢转化为噻虫胺。少量的农药残留不会引起人体急性中毒，但长期食用噻虫嗪超标的食品，对人体健康可能有一定影响。食用农产品中噻虫嗪超标的主要原因可能是蔬菜种植过程中为控制虫害超量使用农药，或未遵守采收安全间隔期。</w:t>
      </w:r>
    </w:p>
    <w:p w14:paraId="4505B618">
      <w:pPr>
        <w:spacing w:line="480" w:lineRule="auto"/>
        <w:rPr>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81B910-F469-42BD-B859-66367D445F4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CF5B1314-14FE-4894-8880-17F32EA4327C}"/>
  </w:font>
  <w:font w:name="楷体">
    <w:panose1 w:val="02010609060101010101"/>
    <w:charset w:val="86"/>
    <w:family w:val="auto"/>
    <w:pitch w:val="default"/>
    <w:sig w:usb0="800002BF" w:usb1="38CF7CFA" w:usb2="00000016" w:usb3="00000000" w:csb0="00040001" w:csb1="00000000"/>
    <w:embedRegular r:id="rId3" w:fontKey="{13625EF2-5967-4F48-9DCE-0E411A98E4E5}"/>
  </w:font>
  <w:font w:name="仿宋_GB2312">
    <w:panose1 w:val="02010609030101010101"/>
    <w:charset w:val="86"/>
    <w:family w:val="auto"/>
    <w:pitch w:val="default"/>
    <w:sig w:usb0="00000001" w:usb1="080E0000" w:usb2="00000000" w:usb3="00000000" w:csb0="00040000" w:csb1="00000000"/>
    <w:embedRegular r:id="rId4" w:fontKey="{4CC27A74-C647-47AB-A8F7-AC5E80B99BF3}"/>
  </w:font>
  <w:font w:name="仿宋">
    <w:panose1 w:val="02010609060101010101"/>
    <w:charset w:val="86"/>
    <w:family w:val="auto"/>
    <w:pitch w:val="default"/>
    <w:sig w:usb0="800002BF" w:usb1="38CF7CFA" w:usb2="00000016" w:usb3="00000000" w:csb0="00040001" w:csb1="00000000"/>
    <w:embedRegular r:id="rId5" w:fontKey="{87498D46-AD3A-4A6B-AB5E-F49BD19608A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57368D"/>
    <w:rsid w:val="1357368D"/>
    <w:rsid w:val="63C43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621</Words>
  <Characters>623</Characters>
  <Lines>0</Lines>
  <Paragraphs>0</Paragraphs>
  <TotalTime>5</TotalTime>
  <ScaleCrop>false</ScaleCrop>
  <LinksUpToDate>false</LinksUpToDate>
  <CharactersWithSpaces>624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2026-10-20T03:26:00Z</dcterms:created>
  <dc:creator>Nola Dong</dc:creator>
  <cp:lastModifiedBy>Nola Dong</cp:lastModifiedBy>
  <dcterms:modified xsi:type="dcterms:W3CDTF">2026-10-20T03:35:13Z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64A264D006234017BF6FEAED02971CC5_11</vt:lpwstr>
  </property>
  <property fmtid="{D5CDD505-2E9C-101B-9397-08002B2CF9AE}" pid="4" name="KSOTemplateDocerSaveRecord">
    <vt:lpwstr>eyJoZGlkIjoiZDIxNTZhNTkwMTllY2QwZWQ4NDlmMWY0YzhlNmQ1ODIiLCJ1c2VySWQiOiI0MzAyOTE3MTYifQ==</vt:lpwstr>
  </property>
</Properties>
</file>