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val="0"/>
        <w:topLinePunct w:val="0"/>
        <w:bidi w:val="0"/>
        <w:spacing w:line="245" w:lineRule="auto"/>
        <w:jc w:val="both"/>
      </w:pPr>
    </w:p>
    <w:p>
      <w:pPr>
        <w:pStyle w:val="4"/>
        <w:keepNext w:val="0"/>
        <w:keepLines w:val="0"/>
        <w:pageBreakBefore w:val="0"/>
        <w:widowControl w:val="0"/>
        <w:kinsoku/>
        <w:wordWrap/>
        <w:overflowPunct w:val="0"/>
        <w:topLinePunct w:val="0"/>
        <w:bidi w:val="0"/>
        <w:spacing w:line="245" w:lineRule="auto"/>
        <w:jc w:val="both"/>
      </w:pPr>
    </w:p>
    <w:p>
      <w:pPr>
        <w:pStyle w:val="4"/>
        <w:keepNext w:val="0"/>
        <w:keepLines w:val="0"/>
        <w:pageBreakBefore w:val="0"/>
        <w:widowControl w:val="0"/>
        <w:kinsoku/>
        <w:wordWrap/>
        <w:overflowPunct w:val="0"/>
        <w:topLinePunct w:val="0"/>
        <w:bidi w:val="0"/>
        <w:spacing w:line="246" w:lineRule="auto"/>
        <w:jc w:val="both"/>
      </w:pPr>
    </w:p>
    <w:p>
      <w:pPr>
        <w:pStyle w:val="4"/>
        <w:keepNext w:val="0"/>
        <w:keepLines w:val="0"/>
        <w:pageBreakBefore w:val="0"/>
        <w:widowControl w:val="0"/>
        <w:kinsoku/>
        <w:wordWrap/>
        <w:overflowPunct w:val="0"/>
        <w:topLinePunct w:val="0"/>
        <w:bidi w:val="0"/>
        <w:spacing w:line="246" w:lineRule="auto"/>
        <w:jc w:val="both"/>
      </w:pPr>
    </w:p>
    <w:p>
      <w:pPr>
        <w:pStyle w:val="4"/>
        <w:keepNext w:val="0"/>
        <w:keepLines w:val="0"/>
        <w:pageBreakBefore w:val="0"/>
        <w:widowControl w:val="0"/>
        <w:kinsoku/>
        <w:wordWrap/>
        <w:overflowPunct w:val="0"/>
        <w:topLinePunct w:val="0"/>
        <w:bidi w:val="0"/>
        <w:spacing w:line="246" w:lineRule="auto"/>
        <w:jc w:val="both"/>
      </w:pPr>
    </w:p>
    <w:p>
      <w:pPr>
        <w:pStyle w:val="4"/>
        <w:keepNext w:val="0"/>
        <w:keepLines w:val="0"/>
        <w:pageBreakBefore w:val="0"/>
        <w:widowControl w:val="0"/>
        <w:kinsoku/>
        <w:wordWrap/>
        <w:overflowPunct w:val="0"/>
        <w:topLinePunct w:val="0"/>
        <w:bidi w:val="0"/>
        <w:spacing w:line="246" w:lineRule="auto"/>
        <w:jc w:val="both"/>
      </w:pPr>
    </w:p>
    <w:p>
      <w:pPr>
        <w:pStyle w:val="4"/>
        <w:keepNext w:val="0"/>
        <w:keepLines w:val="0"/>
        <w:pageBreakBefore w:val="0"/>
        <w:widowControl w:val="0"/>
        <w:kinsoku/>
        <w:wordWrap/>
        <w:overflowPunct w:val="0"/>
        <w:topLinePunct w:val="0"/>
        <w:bidi w:val="0"/>
        <w:spacing w:line="246" w:lineRule="auto"/>
        <w:jc w:val="both"/>
      </w:pPr>
    </w:p>
    <w:p>
      <w:pPr>
        <w:pStyle w:val="4"/>
        <w:keepNext w:val="0"/>
        <w:keepLines w:val="0"/>
        <w:pageBreakBefore w:val="0"/>
        <w:widowControl w:val="0"/>
        <w:kinsoku/>
        <w:wordWrap/>
        <w:overflowPunct w:val="0"/>
        <w:topLinePunct w:val="0"/>
        <w:bidi w:val="0"/>
        <w:spacing w:line="246" w:lineRule="auto"/>
        <w:jc w:val="both"/>
      </w:pPr>
    </w:p>
    <w:p>
      <w:pPr>
        <w:keepNext w:val="0"/>
        <w:keepLines w:val="0"/>
        <w:pageBreakBefore w:val="0"/>
        <w:widowControl w:val="0"/>
        <w:kinsoku/>
        <w:wordWrap/>
        <w:overflowPunct w:val="0"/>
        <w:topLinePunct w:val="0"/>
        <w:bidi w:val="0"/>
        <w:spacing w:before="258" w:line="212" w:lineRule="auto"/>
        <w:ind w:left="2966" w:right="568" w:hanging="2400"/>
        <w:jc w:val="center"/>
        <w:outlineLvl w:val="0"/>
        <w:rPr>
          <w:rFonts w:hint="eastAsia" w:ascii="方正小标宋简体" w:hAnsi="方正小标宋简体" w:eastAsia="方正小标宋简体" w:cs="方正小标宋简体"/>
          <w:spacing w:val="1"/>
          <w:position w:val="-1"/>
          <w:sz w:val="60"/>
          <w:szCs w:val="60"/>
        </w:rPr>
      </w:pPr>
      <w:bookmarkStart w:id="0" w:name="_Toc28255"/>
      <w:r>
        <w:rPr>
          <w:rFonts w:hint="eastAsia" w:ascii="方正小标宋简体" w:hAnsi="方正小标宋简体" w:eastAsia="方正小标宋简体" w:cs="方正小标宋简体"/>
          <w:spacing w:val="1"/>
          <w:sz w:val="60"/>
          <w:szCs w:val="60"/>
        </w:rPr>
        <w:t>双辽市</w:t>
      </w:r>
      <w:r>
        <w:rPr>
          <w:rFonts w:hint="eastAsia" w:ascii="方正小标宋简体" w:hAnsi="方正小标宋简体" w:eastAsia="方正小标宋简体" w:cs="方正小标宋简体"/>
          <w:position w:val="25"/>
          <w:sz w:val="60"/>
          <w:szCs w:val="60"/>
        </w:rPr>
        <w:drawing>
          <wp:inline distT="0" distB="0" distL="0" distR="0">
            <wp:extent cx="165735" cy="1244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9"/>
                    <a:stretch>
                      <a:fillRect/>
                    </a:stretch>
                  </pic:blipFill>
                  <pic:spPr>
                    <a:xfrm>
                      <a:off x="0" y="0"/>
                      <a:ext cx="165919" cy="124641"/>
                    </a:xfrm>
                    <a:prstGeom prst="rect">
                      <a:avLst/>
                    </a:prstGeom>
                  </pic:spPr>
                </pic:pic>
              </a:graphicData>
            </a:graphic>
          </wp:inline>
        </w:drawing>
      </w:r>
      <w:r>
        <w:rPr>
          <w:rFonts w:hint="eastAsia" w:ascii="方正小标宋简体" w:hAnsi="方正小标宋简体" w:eastAsia="方正小标宋简体" w:cs="方正小标宋简体"/>
          <w:spacing w:val="1"/>
          <w:position w:val="1"/>
          <w:sz w:val="60"/>
          <w:szCs w:val="60"/>
        </w:rPr>
        <w:t>十四五</w:t>
      </w:r>
      <w:r>
        <w:rPr>
          <w:rFonts w:hint="eastAsia" w:ascii="方正小标宋简体" w:hAnsi="方正小标宋简体" w:eastAsia="方正小标宋简体" w:cs="方正小标宋简体"/>
          <w:position w:val="25"/>
          <w:sz w:val="60"/>
          <w:szCs w:val="60"/>
        </w:rPr>
        <w:drawing>
          <wp:inline distT="0" distB="0" distL="0" distR="0">
            <wp:extent cx="165735" cy="1244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0"/>
                    <a:stretch>
                      <a:fillRect/>
                    </a:stretch>
                  </pic:blipFill>
                  <pic:spPr>
                    <a:xfrm>
                      <a:off x="0" y="0"/>
                      <a:ext cx="165919" cy="124641"/>
                    </a:xfrm>
                    <a:prstGeom prst="rect">
                      <a:avLst/>
                    </a:prstGeom>
                  </pic:spPr>
                </pic:pic>
              </a:graphicData>
            </a:graphic>
          </wp:inline>
        </w:drawing>
      </w:r>
      <w:r>
        <w:rPr>
          <w:rFonts w:hint="eastAsia" w:ascii="方正小标宋简体" w:hAnsi="方正小标宋简体" w:eastAsia="方正小标宋简体" w:cs="方正小标宋简体"/>
          <w:spacing w:val="1"/>
          <w:position w:val="-1"/>
          <w:sz w:val="60"/>
          <w:szCs w:val="60"/>
        </w:rPr>
        <w:t>农业农村</w:t>
      </w:r>
    </w:p>
    <w:p>
      <w:pPr>
        <w:keepNext w:val="0"/>
        <w:keepLines w:val="0"/>
        <w:pageBreakBefore w:val="0"/>
        <w:widowControl w:val="0"/>
        <w:kinsoku/>
        <w:wordWrap/>
        <w:overflowPunct w:val="0"/>
        <w:topLinePunct w:val="0"/>
        <w:bidi w:val="0"/>
        <w:spacing w:before="258" w:line="212" w:lineRule="auto"/>
        <w:ind w:left="2966" w:right="568" w:hanging="2400"/>
        <w:jc w:val="center"/>
        <w:outlineLvl w:val="0"/>
        <w:rPr>
          <w:rFonts w:hint="eastAsia" w:ascii="方正小标宋简体" w:hAnsi="方正小标宋简体" w:eastAsia="方正小标宋简体" w:cs="方正小标宋简体"/>
          <w:sz w:val="58"/>
          <w:szCs w:val="58"/>
        </w:rPr>
      </w:pPr>
      <w:r>
        <w:rPr>
          <w:rFonts w:hint="eastAsia" w:ascii="方正小标宋简体" w:hAnsi="方正小标宋简体" w:eastAsia="方正小标宋简体" w:cs="方正小标宋简体"/>
          <w:spacing w:val="1"/>
          <w:position w:val="1"/>
          <w:sz w:val="60"/>
          <w:szCs w:val="60"/>
        </w:rPr>
        <w:t>发展规划</w:t>
      </w:r>
      <w:bookmarkEnd w:id="0"/>
    </w:p>
    <w:p>
      <w:pPr>
        <w:pStyle w:val="4"/>
        <w:keepNext w:val="0"/>
        <w:keepLines w:val="0"/>
        <w:pageBreakBefore w:val="0"/>
        <w:widowControl w:val="0"/>
        <w:kinsoku/>
        <w:wordWrap/>
        <w:overflowPunct w:val="0"/>
        <w:topLinePunct w:val="0"/>
        <w:bidi w:val="0"/>
        <w:spacing w:line="275" w:lineRule="auto"/>
        <w:jc w:val="both"/>
      </w:pPr>
    </w:p>
    <w:p>
      <w:pPr>
        <w:pStyle w:val="4"/>
        <w:keepNext w:val="0"/>
        <w:keepLines w:val="0"/>
        <w:pageBreakBefore w:val="0"/>
        <w:widowControl w:val="0"/>
        <w:kinsoku/>
        <w:wordWrap/>
        <w:overflowPunct w:val="0"/>
        <w:topLinePunct w:val="0"/>
        <w:bidi w:val="0"/>
        <w:spacing w:line="275" w:lineRule="auto"/>
        <w:jc w:val="both"/>
      </w:pPr>
    </w:p>
    <w:p>
      <w:pPr>
        <w:keepNext w:val="0"/>
        <w:keepLines w:val="0"/>
        <w:pageBreakBefore w:val="0"/>
        <w:widowControl w:val="0"/>
        <w:kinsoku/>
        <w:wordWrap/>
        <w:overflowPunct w:val="0"/>
        <w:topLinePunct w:val="0"/>
        <w:bidi w:val="0"/>
        <w:spacing w:before="152" w:line="223" w:lineRule="auto"/>
        <w:ind w:left="2381"/>
        <w:jc w:val="both"/>
        <w:rPr>
          <w:rFonts w:ascii="宋体" w:hAnsi="宋体" w:eastAsia="宋体" w:cs="宋体"/>
          <w:sz w:val="47"/>
          <w:szCs w:val="47"/>
        </w:rPr>
      </w:pPr>
      <w:r>
        <w:rPr>
          <w:rFonts w:ascii="宋体" w:hAnsi="宋体" w:eastAsia="宋体" w:cs="宋体"/>
          <w:b/>
          <w:bCs/>
          <w:spacing w:val="1"/>
          <w:sz w:val="47"/>
          <w:szCs w:val="47"/>
        </w:rPr>
        <w:t>（</w:t>
      </w:r>
      <w:r>
        <w:rPr>
          <w:rFonts w:ascii="Times New Roman" w:hAnsi="Times New Roman" w:eastAsia="Times New Roman" w:cs="Times New Roman"/>
          <w:b/>
          <w:bCs/>
          <w:spacing w:val="1"/>
          <w:sz w:val="47"/>
          <w:szCs w:val="47"/>
        </w:rPr>
        <w:t>2021-2025</w:t>
      </w:r>
      <w:r>
        <w:rPr>
          <w:rFonts w:ascii="宋体" w:hAnsi="宋体" w:eastAsia="宋体" w:cs="宋体"/>
          <w:b/>
          <w:bCs/>
          <w:spacing w:val="1"/>
          <w:sz w:val="47"/>
          <w:szCs w:val="47"/>
        </w:rPr>
        <w:t>年）</w:t>
      </w:r>
    </w:p>
    <w:p>
      <w:pPr>
        <w:pStyle w:val="4"/>
        <w:keepNext w:val="0"/>
        <w:keepLines w:val="0"/>
        <w:pageBreakBefore w:val="0"/>
        <w:widowControl w:val="0"/>
        <w:kinsoku/>
        <w:wordWrap/>
        <w:overflowPunct w:val="0"/>
        <w:topLinePunct w:val="0"/>
        <w:bidi w:val="0"/>
        <w:spacing w:line="250" w:lineRule="auto"/>
        <w:jc w:val="both"/>
      </w:pPr>
    </w:p>
    <w:p>
      <w:pPr>
        <w:pStyle w:val="4"/>
        <w:keepNext w:val="0"/>
        <w:keepLines w:val="0"/>
        <w:pageBreakBefore w:val="0"/>
        <w:widowControl w:val="0"/>
        <w:kinsoku/>
        <w:wordWrap/>
        <w:overflowPunct w:val="0"/>
        <w:topLinePunct w:val="0"/>
        <w:bidi w:val="0"/>
        <w:spacing w:line="250" w:lineRule="auto"/>
        <w:jc w:val="both"/>
      </w:pPr>
    </w:p>
    <w:p>
      <w:pPr>
        <w:pStyle w:val="4"/>
        <w:keepNext w:val="0"/>
        <w:keepLines w:val="0"/>
        <w:pageBreakBefore w:val="0"/>
        <w:widowControl w:val="0"/>
        <w:kinsoku/>
        <w:wordWrap/>
        <w:overflowPunct w:val="0"/>
        <w:topLinePunct w:val="0"/>
        <w:bidi w:val="0"/>
        <w:spacing w:line="250" w:lineRule="auto"/>
        <w:jc w:val="both"/>
      </w:pPr>
    </w:p>
    <w:p>
      <w:pPr>
        <w:pStyle w:val="4"/>
        <w:keepNext w:val="0"/>
        <w:keepLines w:val="0"/>
        <w:pageBreakBefore w:val="0"/>
        <w:widowControl w:val="0"/>
        <w:kinsoku/>
        <w:wordWrap/>
        <w:overflowPunct w:val="0"/>
        <w:topLinePunct w:val="0"/>
        <w:bidi w:val="0"/>
        <w:spacing w:line="250" w:lineRule="auto"/>
        <w:jc w:val="both"/>
      </w:pPr>
    </w:p>
    <w:p>
      <w:pPr>
        <w:pStyle w:val="4"/>
        <w:keepNext w:val="0"/>
        <w:keepLines w:val="0"/>
        <w:pageBreakBefore w:val="0"/>
        <w:widowControl w:val="0"/>
        <w:kinsoku/>
        <w:wordWrap/>
        <w:overflowPunct w:val="0"/>
        <w:topLinePunct w:val="0"/>
        <w:bidi w:val="0"/>
        <w:spacing w:line="250" w:lineRule="auto"/>
        <w:jc w:val="both"/>
      </w:pPr>
    </w:p>
    <w:p>
      <w:pPr>
        <w:pStyle w:val="4"/>
        <w:keepNext w:val="0"/>
        <w:keepLines w:val="0"/>
        <w:pageBreakBefore w:val="0"/>
        <w:widowControl w:val="0"/>
        <w:kinsoku/>
        <w:wordWrap/>
        <w:overflowPunct w:val="0"/>
        <w:topLinePunct w:val="0"/>
        <w:bidi w:val="0"/>
        <w:spacing w:line="250" w:lineRule="auto"/>
        <w:jc w:val="both"/>
      </w:pPr>
    </w:p>
    <w:p>
      <w:pPr>
        <w:pStyle w:val="4"/>
        <w:keepNext w:val="0"/>
        <w:keepLines w:val="0"/>
        <w:pageBreakBefore w:val="0"/>
        <w:widowControl w:val="0"/>
        <w:kinsoku/>
        <w:wordWrap/>
        <w:overflowPunct w:val="0"/>
        <w:topLinePunct w:val="0"/>
        <w:bidi w:val="0"/>
        <w:spacing w:line="250" w:lineRule="auto"/>
        <w:jc w:val="both"/>
      </w:pPr>
    </w:p>
    <w:p>
      <w:pPr>
        <w:pStyle w:val="4"/>
        <w:keepNext w:val="0"/>
        <w:keepLines w:val="0"/>
        <w:pageBreakBefore w:val="0"/>
        <w:widowControl w:val="0"/>
        <w:kinsoku/>
        <w:wordWrap/>
        <w:overflowPunct w:val="0"/>
        <w:topLinePunct w:val="0"/>
        <w:bidi w:val="0"/>
        <w:spacing w:line="250" w:lineRule="auto"/>
        <w:jc w:val="both"/>
      </w:pPr>
    </w:p>
    <w:p>
      <w:pPr>
        <w:pStyle w:val="4"/>
        <w:keepNext w:val="0"/>
        <w:keepLines w:val="0"/>
        <w:pageBreakBefore w:val="0"/>
        <w:widowControl w:val="0"/>
        <w:kinsoku/>
        <w:wordWrap/>
        <w:overflowPunct w:val="0"/>
        <w:topLinePunct w:val="0"/>
        <w:bidi w:val="0"/>
        <w:spacing w:line="250"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pStyle w:val="4"/>
        <w:keepNext w:val="0"/>
        <w:keepLines w:val="0"/>
        <w:pageBreakBefore w:val="0"/>
        <w:widowControl w:val="0"/>
        <w:kinsoku/>
        <w:wordWrap/>
        <w:overflowPunct w:val="0"/>
        <w:topLinePunct w:val="0"/>
        <w:bidi w:val="0"/>
        <w:spacing w:line="251" w:lineRule="auto"/>
        <w:jc w:val="both"/>
      </w:pP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jc w:val="center"/>
        <w:textAlignment w:val="baseline"/>
        <w:outlineLvl w:val="0"/>
        <w:rPr>
          <w:rFonts w:ascii="宋体" w:hAnsi="宋体" w:eastAsia="宋体" w:cs="宋体"/>
          <w:b/>
          <w:bCs/>
          <w:spacing w:val="-5"/>
          <w:sz w:val="40"/>
          <w:szCs w:val="40"/>
        </w:rPr>
      </w:pPr>
      <w:bookmarkStart w:id="1" w:name="_Toc16571"/>
      <w:r>
        <w:rPr>
          <w:rFonts w:ascii="宋体" w:hAnsi="宋体" w:eastAsia="宋体" w:cs="宋体"/>
          <w:b/>
          <w:bCs/>
          <w:spacing w:val="-5"/>
          <w:sz w:val="40"/>
          <w:szCs w:val="40"/>
        </w:rPr>
        <w:t>双辽市农业农村局</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jc w:val="center"/>
        <w:textAlignment w:val="baseline"/>
        <w:outlineLvl w:val="0"/>
      </w:pPr>
      <w:r>
        <w:rPr>
          <w:rFonts w:ascii="Times New Roman" w:hAnsi="Times New Roman" w:eastAsia="Times New Roman" w:cs="Times New Roman"/>
          <w:b/>
          <w:bCs/>
          <w:spacing w:val="-8"/>
          <w:sz w:val="40"/>
          <w:szCs w:val="40"/>
        </w:rPr>
        <w:t>2021</w:t>
      </w:r>
      <w:r>
        <w:rPr>
          <w:rFonts w:ascii="宋体" w:hAnsi="宋体" w:eastAsia="宋体" w:cs="宋体"/>
          <w:b/>
          <w:bCs/>
          <w:spacing w:val="-8"/>
          <w:sz w:val="40"/>
          <w:szCs w:val="40"/>
        </w:rPr>
        <w:t>年</w:t>
      </w:r>
      <w:r>
        <w:rPr>
          <w:rFonts w:ascii="Times New Roman" w:hAnsi="Times New Roman" w:eastAsia="Times New Roman" w:cs="Times New Roman"/>
          <w:b/>
          <w:bCs/>
          <w:spacing w:val="-8"/>
          <w:sz w:val="40"/>
          <w:szCs w:val="40"/>
        </w:rPr>
        <w:t>12</w:t>
      </w:r>
      <w:r>
        <w:rPr>
          <w:rFonts w:ascii="宋体" w:hAnsi="宋体" w:eastAsia="宋体" w:cs="宋体"/>
          <w:b/>
          <w:bCs/>
          <w:spacing w:val="-8"/>
          <w:sz w:val="40"/>
          <w:szCs w:val="40"/>
        </w:rPr>
        <w:t>月</w:t>
      </w:r>
      <w:bookmarkEnd w:id="1"/>
    </w:p>
    <w:p>
      <w:pPr>
        <w:pStyle w:val="4"/>
        <w:keepNext w:val="0"/>
        <w:keepLines w:val="0"/>
        <w:pageBreakBefore w:val="0"/>
        <w:widowControl w:val="0"/>
        <w:kinsoku/>
        <w:wordWrap/>
        <w:overflowPunct w:val="0"/>
        <w:topLinePunct w:val="0"/>
        <w:bidi w:val="0"/>
        <w:spacing w:line="243" w:lineRule="auto"/>
        <w:jc w:val="both"/>
      </w:pPr>
    </w:p>
    <w:p>
      <w:pPr>
        <w:pStyle w:val="4"/>
        <w:keepNext w:val="0"/>
        <w:keepLines w:val="0"/>
        <w:pageBreakBefore w:val="0"/>
        <w:widowControl w:val="0"/>
        <w:kinsoku/>
        <w:wordWrap/>
        <w:overflowPunct w:val="0"/>
        <w:topLinePunct w:val="0"/>
        <w:bidi w:val="0"/>
        <w:spacing w:line="243" w:lineRule="auto"/>
        <w:jc w:val="both"/>
      </w:pPr>
    </w:p>
    <w:p>
      <w:pPr>
        <w:pStyle w:val="4"/>
        <w:keepNext w:val="0"/>
        <w:keepLines w:val="0"/>
        <w:pageBreakBefore w:val="0"/>
        <w:widowControl w:val="0"/>
        <w:kinsoku/>
        <w:wordWrap/>
        <w:overflowPunct w:val="0"/>
        <w:topLinePunct w:val="0"/>
        <w:bidi w:val="0"/>
        <w:spacing w:line="243" w:lineRule="auto"/>
        <w:jc w:val="both"/>
      </w:pPr>
    </w:p>
    <w:p>
      <w:pPr>
        <w:pStyle w:val="4"/>
        <w:keepNext w:val="0"/>
        <w:keepLines w:val="0"/>
        <w:pageBreakBefore w:val="0"/>
        <w:widowControl w:val="0"/>
        <w:kinsoku/>
        <w:wordWrap/>
        <w:overflowPunct w:val="0"/>
        <w:topLinePunct w:val="0"/>
        <w:bidi w:val="0"/>
        <w:spacing w:line="243" w:lineRule="auto"/>
        <w:jc w:val="both"/>
      </w:pPr>
    </w:p>
    <w:p>
      <w:pPr>
        <w:pStyle w:val="4"/>
        <w:keepNext w:val="0"/>
        <w:keepLines w:val="0"/>
        <w:pageBreakBefore w:val="0"/>
        <w:widowControl w:val="0"/>
        <w:kinsoku/>
        <w:wordWrap/>
        <w:overflowPunct w:val="0"/>
        <w:topLinePunct w:val="0"/>
        <w:bidi w:val="0"/>
        <w:spacing w:line="243" w:lineRule="auto"/>
        <w:jc w:val="both"/>
      </w:pPr>
    </w:p>
    <w:p>
      <w:pPr>
        <w:pStyle w:val="4"/>
        <w:keepNext w:val="0"/>
        <w:keepLines w:val="0"/>
        <w:pageBreakBefore w:val="0"/>
        <w:widowControl w:val="0"/>
        <w:kinsoku/>
        <w:wordWrap/>
        <w:overflowPunct w:val="0"/>
        <w:topLinePunct w:val="0"/>
        <w:bidi w:val="0"/>
        <w:spacing w:line="243" w:lineRule="auto"/>
        <w:jc w:val="both"/>
      </w:pPr>
    </w:p>
    <w:p>
      <w:pPr>
        <w:keepNext w:val="0"/>
        <w:keepLines w:val="0"/>
        <w:pageBreakBefore w:val="0"/>
        <w:widowControl w:val="0"/>
        <w:kinsoku/>
        <w:wordWrap/>
        <w:overflowPunct w:val="0"/>
        <w:topLinePunct w:val="0"/>
        <w:bidi w:val="0"/>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napToGrid w:val="0"/>
          <w:color w:val="000000"/>
          <w:kern w:val="0"/>
          <w:sz w:val="32"/>
          <w:szCs w:val="32"/>
          <w:lang w:val="en-US" w:eastAsia="en-US" w:bidi="ar-SA"/>
        </w:rPr>
        <w:sectPr>
          <w:pgSz w:w="11906" w:h="16839"/>
          <w:pgMar w:top="1417" w:right="1587" w:bottom="1417" w:left="1587" w:header="0" w:footer="1094" w:gutter="0"/>
          <w:pgNumType w:fmt="decimal"/>
          <w:cols w:space="0" w:num="1"/>
          <w:rtlGutter w:val="0"/>
          <w:docGrid w:linePitch="0" w:charSpace="0"/>
        </w:sectPr>
      </w:pPr>
    </w:p>
    <w:sdt>
      <w:sdtPr>
        <w:rPr>
          <w:rFonts w:hint="eastAsia" w:ascii="方正小标宋简体" w:hAnsi="方正小标宋简体" w:eastAsia="方正小标宋简体" w:cs="方正小标宋简体"/>
          <w:snapToGrid w:val="0"/>
          <w:color w:val="000000"/>
          <w:kern w:val="0"/>
          <w:sz w:val="32"/>
          <w:szCs w:val="32"/>
          <w:lang w:val="en-US" w:eastAsia="en-US" w:bidi="ar-SA"/>
        </w:rPr>
        <w:id w:val="147481700"/>
        <w15:color w:val="DBDBDB"/>
        <w:docPartObj>
          <w:docPartGallery w:val="Table of Contents"/>
          <w:docPartUnique/>
        </w:docPartObj>
      </w:sdtPr>
      <w:sdtEndPr>
        <w:rPr>
          <w:rFonts w:hint="eastAsia" w:ascii="Times New Roman" w:hAnsi="Times New Roman" w:eastAsia="Times New Roman" w:cs="Times New Roman"/>
          <w:snapToGrid w:val="0"/>
          <w:color w:val="000000"/>
          <w:kern w:val="0"/>
          <w:sz w:val="21"/>
          <w:szCs w:val="28"/>
          <w:lang w:val="en-US" w:eastAsia="en-US" w:bidi="ar-SA"/>
        </w:rPr>
      </w:sdtEndPr>
      <w:sdtContent>
        <w:p>
          <w:pPr>
            <w:keepNext w:val="0"/>
            <w:keepLines w:val="0"/>
            <w:pageBreakBefore w:val="0"/>
            <w:widowControl w:val="0"/>
            <w:kinsoku/>
            <w:wordWrap/>
            <w:overflowPunct w:val="0"/>
            <w:topLinePunct w:val="0"/>
            <w:bidi w:val="0"/>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录</w:t>
          </w:r>
        </w:p>
        <w:p>
          <w:pPr>
            <w:pStyle w:val="12"/>
            <w:keepNext w:val="0"/>
            <w:keepLines w:val="0"/>
            <w:pageBreakBefore w:val="0"/>
            <w:widowControl w:val="0"/>
            <w:tabs>
              <w:tab w:val="right" w:leader="dot" w:pos="8732"/>
            </w:tabs>
            <w:kinsoku/>
            <w:wordWrap/>
            <w:overflowPunct w:val="0"/>
            <w:topLinePunct w:val="0"/>
            <w:bidi w:val="0"/>
          </w:pPr>
          <w:r>
            <w:rPr>
              <w:rFonts w:ascii="Times New Roman" w:hAnsi="Times New Roman" w:eastAsia="Times New Roman" w:cs="Times New Roman"/>
              <w:sz w:val="28"/>
              <w:szCs w:val="28"/>
            </w:rPr>
            <w:fldChar w:fldCharType="begin"/>
          </w:r>
          <w:r>
            <w:rPr>
              <w:rFonts w:ascii="Times New Roman" w:hAnsi="Times New Roman" w:eastAsia="Times New Roman" w:cs="Times New Roman"/>
              <w:sz w:val="28"/>
              <w:szCs w:val="28"/>
            </w:rPr>
            <w:instrText xml:space="preserve">TOC \o "1-3" \h \u </w:instrText>
          </w:r>
          <w:r>
            <w:rPr>
              <w:rFonts w:ascii="Times New Roman" w:hAnsi="Times New Roman" w:eastAsia="Times New Roman" w:cs="Times New Roman"/>
              <w:sz w:val="28"/>
              <w:szCs w:val="28"/>
            </w:rPr>
            <w:fldChar w:fldCharType="separate"/>
          </w:r>
        </w:p>
        <w:p>
          <w:pPr>
            <w:pStyle w:val="12"/>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_Toc30447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22"/>
              <w:w w:val="99"/>
              <w:position w:val="-2"/>
              <w:sz w:val="28"/>
              <w:szCs w:val="28"/>
            </w:rPr>
            <w:t>前</w:t>
          </w:r>
          <w:r>
            <w:rPr>
              <w:rFonts w:hint="eastAsia" w:asciiTheme="majorEastAsia" w:hAnsiTheme="majorEastAsia" w:eastAsiaTheme="majorEastAsia" w:cstheme="majorEastAsia"/>
              <w:spacing w:val="-22"/>
              <w:w w:val="99"/>
              <w:position w:val="-2"/>
              <w:sz w:val="28"/>
              <w:szCs w:val="28"/>
              <w:lang w:val="en-US" w:eastAsia="zh-CN"/>
            </w:rPr>
            <w:t xml:space="preserve">  </w:t>
          </w:r>
          <w:r>
            <w:rPr>
              <w:rFonts w:hint="eastAsia" w:asciiTheme="majorEastAsia" w:hAnsiTheme="majorEastAsia" w:eastAsiaTheme="majorEastAsia" w:cstheme="majorEastAsia"/>
              <w:spacing w:val="-22"/>
              <w:w w:val="99"/>
              <w:position w:val="-2"/>
              <w:sz w:val="28"/>
              <w:szCs w:val="28"/>
            </w:rPr>
            <w:t>言</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_Toc30447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2"/>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_Toc16425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一、发展基础</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_Toc16425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_Toc1518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（一）“十三五”规划实施情况</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_Toc1518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_Toc13204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（二）“十四五”时期发展环境</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_Toc13204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2"/>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_Toc20031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二、总体要求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_Toc20031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_Toc19761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（一）总体思路</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_Toc19761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_Toc17593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（二）发展原则</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_Toc17593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_Toc22267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（三）发展定位</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_Toc22267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_Toc29656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（四）发展目标</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_Toc29656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2"/>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_Toc7179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三、空间布局</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_Toc7179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2"/>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_Toc16367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四、重点任务</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_Toc16367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_Toc32633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（一）确保粮食稳产优质安全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_Toc32633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_Toc7517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（二）推进畜牧业提质增效</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_Toc7517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_Toc16032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（三）发展特色多元产业</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_Toc16032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_Toc3869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7"/>
              <w:sz w:val="28"/>
              <w:szCs w:val="28"/>
            </w:rPr>
            <w:t>（四）实施农村一二三产融合发展</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_Toc3869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_Toc13596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（五）加强生态治理和修复</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_Toc13596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_Toc25203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（六）突出农产品品牌培育</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_Toc25203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_Toc14394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（七）加强科技创新推进数字化进程</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_Toc14394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_Toc14163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（八）建设宜居宜业美丽乡村</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_Toc14163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_Toc4915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（九）深化农业农村改革</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_Toc4915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2"/>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_Toc25035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五、保障措施</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_Toc25035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_Toc32259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（一）加强组织领导</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_Toc32259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_Toc32420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（二）强化政策落实</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_Toc32420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_Toc6100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（三）加大财政支持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_Toc6100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_Toc27197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（四）强化人才支撑</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_Toc27197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3"/>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_Toc2947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pacing w:val="0"/>
              <w:sz w:val="28"/>
              <w:szCs w:val="28"/>
            </w:rPr>
            <w:t>（五）实施评估考核</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_Toc2947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2"/>
            <w:keepNext w:val="0"/>
            <w:keepLines w:val="0"/>
            <w:pageBreakBefore w:val="0"/>
            <w:widowControl w:val="0"/>
            <w:tabs>
              <w:tab w:val="right" w:leader="dot" w:pos="8732"/>
            </w:tabs>
            <w:kinsoku/>
            <w:wordWrap/>
            <w:overflowPunct w:val="0"/>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val="0"/>
            <w:topLinePunct w:val="0"/>
            <w:bidi w:val="0"/>
            <w:spacing w:line="216" w:lineRule="auto"/>
            <w:jc w:val="both"/>
            <w:rPr>
              <w:rFonts w:ascii="Times New Roman" w:hAnsi="Times New Roman" w:eastAsia="Times New Roman" w:cs="Times New Roman"/>
              <w:sz w:val="28"/>
              <w:szCs w:val="28"/>
            </w:rPr>
            <w:sectPr>
              <w:footerReference r:id="rId5" w:type="default"/>
              <w:pgSz w:w="11906" w:h="16839"/>
              <w:pgMar w:top="1417" w:right="1587" w:bottom="1417" w:left="1587" w:header="0" w:footer="1094" w:gutter="0"/>
              <w:pgNumType w:fmt="decimal" w:start="1"/>
              <w:cols w:space="0" w:num="1"/>
              <w:rtlGutter w:val="0"/>
              <w:docGrid w:linePitch="0" w:charSpace="0"/>
            </w:sectPr>
          </w:pPr>
          <w:r>
            <w:rPr>
              <w:rFonts w:ascii="Times New Roman" w:hAnsi="Times New Roman" w:eastAsia="Times New Roman" w:cs="Times New Roman"/>
              <w:szCs w:val="28"/>
            </w:rPr>
            <w:fldChar w:fldCharType="end"/>
          </w:r>
        </w:p>
      </w:sdtContent>
    </w:sdt>
    <w:p>
      <w:pPr>
        <w:keepNext w:val="0"/>
        <w:keepLines w:val="0"/>
        <w:pageBreakBefore w:val="0"/>
        <w:widowControl w:val="0"/>
        <w:kinsoku/>
        <w:wordWrap/>
        <w:overflowPunct w:val="0"/>
        <w:topLinePunct w:val="0"/>
        <w:autoSpaceDE w:val="0"/>
        <w:autoSpaceDN w:val="0"/>
        <w:bidi w:val="0"/>
        <w:adjustRightInd w:val="0"/>
        <w:snapToGrid w:val="0"/>
        <w:spacing w:before="210" w:line="502" w:lineRule="exact"/>
        <w:ind w:left="0"/>
        <w:jc w:val="center"/>
        <w:textAlignment w:val="baseline"/>
        <w:outlineLvl w:val="0"/>
        <w:rPr>
          <w:rFonts w:hint="eastAsia" w:ascii="方正小标宋简体" w:hAnsi="方正小标宋简体" w:eastAsia="方正小标宋简体" w:cs="方正小标宋简体"/>
          <w:sz w:val="44"/>
          <w:szCs w:val="44"/>
        </w:rPr>
      </w:pPr>
      <w:bookmarkStart w:id="2" w:name="bookmark1"/>
      <w:bookmarkEnd w:id="2"/>
      <w:bookmarkStart w:id="3" w:name="_Toc30447"/>
      <w:r>
        <w:rPr>
          <w:rFonts w:hint="eastAsia" w:ascii="方正小标宋简体" w:hAnsi="方正小标宋简体" w:eastAsia="方正小标宋简体" w:cs="方正小标宋简体"/>
          <w:spacing w:val="-22"/>
          <w:w w:val="99"/>
          <w:position w:val="-2"/>
          <w:sz w:val="44"/>
          <w:szCs w:val="44"/>
        </w:rPr>
        <w:t>前</w:t>
      </w:r>
      <w:r>
        <w:rPr>
          <w:rFonts w:hint="eastAsia" w:ascii="方正小标宋简体" w:hAnsi="方正小标宋简体" w:eastAsia="方正小标宋简体" w:cs="方正小标宋简体"/>
          <w:spacing w:val="-22"/>
          <w:w w:val="99"/>
          <w:position w:val="-2"/>
          <w:sz w:val="44"/>
          <w:szCs w:val="44"/>
          <w:lang w:val="en-US" w:eastAsia="zh-CN"/>
        </w:rPr>
        <w:t xml:space="preserve">     </w:t>
      </w:r>
      <w:r>
        <w:rPr>
          <w:rFonts w:hint="eastAsia" w:ascii="方正小标宋简体" w:hAnsi="方正小标宋简体" w:eastAsia="方正小标宋简体" w:cs="方正小标宋简体"/>
          <w:spacing w:val="-22"/>
          <w:w w:val="99"/>
          <w:position w:val="-2"/>
          <w:sz w:val="44"/>
          <w:szCs w:val="44"/>
        </w:rPr>
        <w:t>言</w:t>
      </w:r>
      <w:bookmarkEnd w:id="3"/>
    </w:p>
    <w:p>
      <w:pPr>
        <w:pStyle w:val="4"/>
        <w:keepNext w:val="0"/>
        <w:keepLines w:val="0"/>
        <w:pageBreakBefore w:val="0"/>
        <w:widowControl w:val="0"/>
        <w:kinsoku/>
        <w:wordWrap/>
        <w:overflowPunct w:val="0"/>
        <w:topLinePunct w:val="0"/>
        <w:bidi w:val="0"/>
        <w:spacing w:line="245" w:lineRule="auto"/>
        <w:jc w:val="both"/>
      </w:pPr>
    </w:p>
    <w:p>
      <w:pPr>
        <w:pStyle w:val="4"/>
        <w:keepNext w:val="0"/>
        <w:keepLines w:val="0"/>
        <w:pageBreakBefore w:val="0"/>
        <w:widowControl w:val="0"/>
        <w:kinsoku/>
        <w:wordWrap/>
        <w:overflowPunct w:val="0"/>
        <w:topLinePunct w:val="0"/>
        <w:bidi w:val="0"/>
        <w:spacing w:line="246" w:lineRule="auto"/>
        <w:jc w:val="both"/>
      </w:pP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十四五”时期是我国开启全面建设社会主义现代化国家新征程的第一个五年，开好局、起好步至关重要。立足开启农业农村现代化新征程的历史方位，坚持农业现代化和农村现代化一体设计、一并推进。深入贯彻落实习近平总书记视察吉林视察四平重要讲话重要指示精神，牢记加快实现农业农村现代化这一时代使命，扛起粮食安全政治责任，精心谋划、聚力推进当前和未来双辽农业农村经济发展，开启新时代双辽全面振兴全方位振兴崭新征程。</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依据《中共中央关于制定国民经济和社会发展第十四个五年规划和二</w:t>
      </w:r>
      <w:r>
        <w:rPr>
          <w:rFonts w:ascii="宋体" w:hAnsi="宋体" w:eastAsia="宋体" w:cs="宋体"/>
          <w:spacing w:val="0"/>
          <w:sz w:val="32"/>
          <w:szCs w:val="32"/>
        </w:rPr>
        <w:t>〇</w:t>
      </w:r>
      <w:r>
        <w:rPr>
          <w:rFonts w:ascii="仿宋" w:hAnsi="仿宋" w:eastAsia="仿宋" w:cs="仿宋"/>
          <w:spacing w:val="0"/>
          <w:sz w:val="32"/>
          <w:szCs w:val="32"/>
        </w:rPr>
        <w:t>三五年远景目标的建议》和《吉林省率先实现农业现代化总体规划（2019—2030年）》《吉林省农业可持续发展规划（2016—2030年）》以及《四平市农业农村现代化“十四五”规划（2021—2025年）》《双辽市国民经济和社会发展第十四个五年规划和2035年远景目标纲要》等，编制《双辽市“十四五”农业农村发展规划（2021—2025年）》，主要阐明“十四五”时期双辽市农业农村经济发展的指导思想、战略布局、奋斗目标和重要举措,指导未来五年双辽市农业农村全面发展，率先实现农业农村现代化。</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0"/>
        <w:rPr>
          <w:rFonts w:ascii="黑体" w:hAnsi="黑体" w:eastAsia="黑体" w:cs="黑体"/>
          <w:spacing w:val="0"/>
          <w:sz w:val="32"/>
          <w:szCs w:val="32"/>
        </w:rPr>
      </w:pPr>
      <w:bookmarkStart w:id="4" w:name="bookmark3"/>
      <w:bookmarkEnd w:id="4"/>
      <w:bookmarkStart w:id="5" w:name="_Toc16425"/>
      <w:r>
        <w:rPr>
          <w:rFonts w:ascii="黑体" w:hAnsi="黑体" w:eastAsia="黑体" w:cs="黑体"/>
          <w:spacing w:val="0"/>
          <w:sz w:val="32"/>
          <w:szCs w:val="32"/>
        </w:rPr>
        <w:t>一、发展基础</w:t>
      </w:r>
      <w:bookmarkEnd w:id="5"/>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6" w:name="bookmark5"/>
      <w:bookmarkEnd w:id="6"/>
      <w:bookmarkStart w:id="7" w:name="_Toc1518"/>
      <w:r>
        <w:rPr>
          <w:rFonts w:ascii="楷体" w:hAnsi="楷体" w:eastAsia="楷体" w:cs="楷体"/>
          <w:spacing w:val="0"/>
          <w:sz w:val="32"/>
          <w:szCs w:val="32"/>
        </w:rPr>
        <w:t>（一）“十三五”规划实施情况</w:t>
      </w:r>
      <w:bookmarkEnd w:id="7"/>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十三五”期间，双辽市紧紧抓住推进东北振兴发展的历史机遇，以建设稳产高产优质粮食工程为重点，大力发展畜牧业规模化养殖，全面加强农业基础设施建设，稳步推进农业供给侧结构性改革，深入实施乡村振兴战略，如期完成“十三五”规划确定的主要目标任务，为“十四五”率先实现农业农村现代化奠定了坚实的基础。</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outlineLvl w:val="2"/>
        <w:rPr>
          <w:rFonts w:ascii="仿宋" w:hAnsi="仿宋" w:eastAsia="仿宋" w:cs="仿宋"/>
          <w:spacing w:val="0"/>
          <w:sz w:val="32"/>
          <w:szCs w:val="32"/>
        </w:rPr>
      </w:pPr>
      <w:bookmarkStart w:id="8" w:name="_Toc24950"/>
      <w:r>
        <w:rPr>
          <w:rFonts w:ascii="仿宋" w:hAnsi="仿宋" w:eastAsia="仿宋" w:cs="仿宋"/>
          <w:b/>
          <w:bCs/>
          <w:spacing w:val="0"/>
          <w:sz w:val="32"/>
          <w:szCs w:val="32"/>
        </w:rPr>
        <w:t>1.农业生产能力明显增强</w:t>
      </w:r>
      <w:bookmarkEnd w:id="8"/>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全市农林牧渔业总产值达到93.12亿元，年均增幅5.8%，其中，农业产值达到27.57亿元，林业产值达到0.79亿元，畜牧业产值达到63.55亿元，渔业产值达到0.13亿元，农林牧渔服务业产值达到1.08亿元。农产品加工业产值达到6.9亿元；确保粮食稳产提质，全市粮食作物播种面积稳定在260万亩以上，粮食综合生产能力达到24.07亿斤的阶段性水平；黑土地保护面积达到170万亩，高标准农田建成面积达到120.33万亩；农业科技水平和应用能力显著提升，农业科技进步贡献率达61.6%，全市主要农作物耕种收综合机械化率达94.5%；不断优化调整种植业结构，水稻播种面积达到37.66万亩；确保“菜篮子”产品稳定供给，大力发展优质畜牧业，猪、牛、羊、禽养殖规模达到1100万头（只），肉、蛋、奶总产量达到12.67万吨</w:t>
      </w:r>
      <w:r>
        <w:rPr>
          <w:rFonts w:hint="eastAsia" w:ascii="仿宋" w:hAnsi="仿宋" w:eastAsia="仿宋" w:cs="仿宋"/>
          <w:spacing w:val="0"/>
          <w:sz w:val="32"/>
          <w:szCs w:val="32"/>
          <w:lang w:eastAsia="zh-CN"/>
        </w:rPr>
        <w:t>；</w:t>
      </w:r>
      <w:r>
        <w:rPr>
          <w:rFonts w:ascii="仿宋" w:hAnsi="仿宋" w:eastAsia="仿宋" w:cs="仿宋"/>
          <w:spacing w:val="0"/>
          <w:sz w:val="32"/>
          <w:szCs w:val="32"/>
        </w:rPr>
        <w:t>园艺特产业稳步推进，规模化棚室园区发展到14个，棚室生产面积达到1400亩。蔬菜年产量达到17.5万吨。</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outlineLvl w:val="2"/>
        <w:rPr>
          <w:rFonts w:ascii="仿宋" w:hAnsi="仿宋" w:eastAsia="仿宋" w:cs="仿宋"/>
          <w:spacing w:val="0"/>
          <w:sz w:val="32"/>
          <w:szCs w:val="32"/>
        </w:rPr>
      </w:pPr>
      <w:bookmarkStart w:id="9" w:name="_Toc21700"/>
      <w:r>
        <w:rPr>
          <w:rFonts w:ascii="仿宋" w:hAnsi="仿宋" w:eastAsia="仿宋" w:cs="仿宋"/>
          <w:b/>
          <w:bCs/>
          <w:spacing w:val="0"/>
          <w:sz w:val="32"/>
          <w:szCs w:val="32"/>
        </w:rPr>
        <w:t>2.全市农村改革不断深化</w:t>
      </w:r>
      <w:bookmarkEnd w:id="9"/>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深化农村土地制度改革、农村集体产权制度改革、农村金融改革和农业综合执法改革，不断完善体制机制，为农业农村发展注入新活力。全市农村承包地确权登记颁证工作和农村集体产权制度改革任务如期完成</w:t>
      </w:r>
      <w:r>
        <w:rPr>
          <w:rFonts w:hint="eastAsia" w:ascii="仿宋" w:hAnsi="仿宋" w:eastAsia="仿宋" w:cs="仿宋"/>
          <w:spacing w:val="0"/>
          <w:sz w:val="32"/>
          <w:szCs w:val="32"/>
          <w:lang w:eastAsia="zh-CN"/>
        </w:rPr>
        <w:t>，</w:t>
      </w:r>
      <w:r>
        <w:rPr>
          <w:rFonts w:ascii="仿宋" w:hAnsi="仿宋" w:eastAsia="仿宋" w:cs="仿宋"/>
          <w:spacing w:val="0"/>
          <w:sz w:val="32"/>
          <w:szCs w:val="32"/>
        </w:rPr>
        <w:t>“三权分置”成效明显。市、乡（镇、街道）、村（社区）三级农村土地流转服务体系加快构建完善，其它方式承包地日趋规范化。新型农业经营主体稳步发展，农民专业合作社达到1798户，家庭农场达到894户，农业产业化龙头企业达到69家。土地经营权流转、股份合作、代耕代种、土地托管等多种形式的适度规模经营快速发展。建立健全打击防范金融犯罪联动协作机制，金融风险得到有效防控。农业综合执法改革基本到位，农资、农产品质量安全等领域监管执法力度明显增强，为维护农业领域生产秩序提供有力保障。</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outlineLvl w:val="2"/>
        <w:rPr>
          <w:rFonts w:ascii="仿宋" w:hAnsi="仿宋" w:eastAsia="仿宋" w:cs="仿宋"/>
          <w:spacing w:val="0"/>
          <w:sz w:val="32"/>
          <w:szCs w:val="32"/>
        </w:rPr>
      </w:pPr>
      <w:bookmarkStart w:id="10" w:name="_Toc983"/>
      <w:r>
        <w:rPr>
          <w:rFonts w:ascii="仿宋" w:hAnsi="仿宋" w:eastAsia="仿宋" w:cs="仿宋"/>
          <w:b/>
          <w:bCs/>
          <w:spacing w:val="0"/>
          <w:sz w:val="32"/>
          <w:szCs w:val="32"/>
        </w:rPr>
        <w:t>3.农业生态环境持续优化</w:t>
      </w:r>
      <w:bookmarkEnd w:id="10"/>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坚持不懈推动农业绿色发展。建立双辽市秸秆禁烧网格化管理制度，秸秆禁烧管控有力，卫星遥感监测实现零火点，全市秸秆综合利用率达到87.73%；完成城区水源地保护区调整工作，启动农村集中式水源地保护区划定工作，辽河流域环保项目全面铺开，辽河流域水环境整治成果显著；严格控制占用耕地资源，提高水资源、农业投入品的利用率，推广实施了一批资源保护及高效利用新技术、新产品、新项目，水土资源利用效率不断提高</w:t>
      </w:r>
      <w:r>
        <w:rPr>
          <w:rFonts w:hint="eastAsia" w:ascii="仿宋" w:hAnsi="仿宋" w:eastAsia="仿宋" w:cs="仿宋"/>
          <w:spacing w:val="0"/>
          <w:sz w:val="32"/>
          <w:szCs w:val="32"/>
          <w:lang w:eastAsia="zh-CN"/>
        </w:rPr>
        <w:t>，</w:t>
      </w:r>
      <w:r>
        <w:rPr>
          <w:rFonts w:ascii="仿宋" w:hAnsi="仿宋" w:eastAsia="仿宋" w:cs="仿宋"/>
          <w:spacing w:val="0"/>
          <w:sz w:val="32"/>
          <w:szCs w:val="32"/>
        </w:rPr>
        <w:t>乡镇污水处理二期、屯级畜禽粪污集中收储点项目完成阶段性任务，畜禽粪污资源化利用率达到95.45%</w:t>
      </w:r>
      <w:r>
        <w:rPr>
          <w:rFonts w:hint="eastAsia" w:ascii="仿宋" w:hAnsi="仿宋" w:eastAsia="仿宋" w:cs="仿宋"/>
          <w:spacing w:val="0"/>
          <w:sz w:val="32"/>
          <w:szCs w:val="32"/>
          <w:lang w:eastAsia="zh-CN"/>
        </w:rPr>
        <w:t>；</w:t>
      </w:r>
      <w:r>
        <w:rPr>
          <w:rFonts w:ascii="仿宋" w:hAnsi="仿宋" w:eastAsia="仿宋" w:cs="仿宋"/>
          <w:spacing w:val="0"/>
          <w:sz w:val="32"/>
          <w:szCs w:val="32"/>
        </w:rPr>
        <w:t>实施绿色发展工程，化肥、农药使用量实现负增长，持续推进科学施肥施药、增施有机肥和秸秆还田等技术应用。开展农村乱占耕地建房整治工作，严格落实农村乱占耕地建房“八不准”</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right="0"/>
        <w:jc w:val="both"/>
        <w:textAlignment w:val="baseline"/>
        <w:rPr>
          <w:rFonts w:ascii="仿宋" w:hAnsi="仿宋" w:eastAsia="仿宋" w:cs="仿宋"/>
          <w:spacing w:val="0"/>
          <w:sz w:val="32"/>
          <w:szCs w:val="32"/>
        </w:rPr>
      </w:pPr>
      <w:r>
        <w:rPr>
          <w:rFonts w:ascii="仿宋" w:hAnsi="仿宋" w:eastAsia="仿宋" w:cs="仿宋"/>
          <w:spacing w:val="0"/>
          <w:sz w:val="32"/>
          <w:szCs w:val="32"/>
        </w:rPr>
        <w:t>要求，耕地资源得到有效保护。</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outlineLvl w:val="2"/>
        <w:rPr>
          <w:rFonts w:ascii="仿宋" w:hAnsi="仿宋" w:eastAsia="仿宋" w:cs="仿宋"/>
          <w:spacing w:val="0"/>
          <w:sz w:val="32"/>
          <w:szCs w:val="32"/>
        </w:rPr>
      </w:pPr>
      <w:bookmarkStart w:id="11" w:name="_Toc19355"/>
      <w:r>
        <w:rPr>
          <w:rFonts w:ascii="仿宋" w:hAnsi="仿宋" w:eastAsia="仿宋" w:cs="仿宋"/>
          <w:b/>
          <w:bCs/>
          <w:spacing w:val="0"/>
          <w:sz w:val="32"/>
          <w:szCs w:val="32"/>
        </w:rPr>
        <w:t>4.农村人居环境明显改善</w:t>
      </w:r>
      <w:bookmarkEnd w:id="11"/>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统筹推进乡村建设行动。美丽庭院、干净人家、美丽乡村创建活动稳步推进，创建省级美丽乡村19个、省级绿美示范村屯25个、市级美丽乡村53个、美丽庭院8700户、干净人家26000户、绿化精品村25个。农村公路实现乡乡通、村村通、屯屯通，全市农村公路总里程达到2885公里，行政村和自然屯通硬化路率均达到100%。全省推动“四好农村路”高质量发展现场会在双辽市召开，双辽市被评为“四好农村路”省级示范县。完成农村电网升级改造，农村电网供电可靠率达99.8%以上。农村宽带网络工程建设步伐加快，农村家庭宽带网络覆盖率达到96.5%以上。推进“厕所革命”，完成卫生厕所改造1.2万个。垃圾分类处理、无害化处理、资源化利用取得初步成效。全省农村生活垃圾收运处置和非正规垃圾堆放点整治工作现场会在双辽市召开，双辽经验在全省得到推广。2020年双辽市被评为全国村庄清洁行动先进县、全国农村生活垃圾分类和资源化利用示范县。</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outlineLvl w:val="2"/>
        <w:rPr>
          <w:rFonts w:ascii="仿宋" w:hAnsi="仿宋" w:eastAsia="仿宋" w:cs="仿宋"/>
          <w:spacing w:val="0"/>
          <w:sz w:val="32"/>
          <w:szCs w:val="32"/>
        </w:rPr>
      </w:pPr>
      <w:bookmarkStart w:id="12" w:name="_Toc25990"/>
      <w:r>
        <w:rPr>
          <w:rFonts w:ascii="仿宋" w:hAnsi="仿宋" w:eastAsia="仿宋" w:cs="仿宋"/>
          <w:b/>
          <w:bCs/>
          <w:spacing w:val="0"/>
          <w:sz w:val="32"/>
          <w:szCs w:val="32"/>
        </w:rPr>
        <w:t>5.农村民生事业全面发展</w:t>
      </w:r>
      <w:bookmarkEnd w:id="12"/>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统筹推进城乡教育、医疗、社保和救助体制机制一体化。农村教育资源配置优化提升。义务教育巩固率达到97%，高中阶段教育毛入学率达到98%。卫生事业快速发展，乡村医疗设施得到极大提升和改善，乡村应对突发重大公共卫生事件能力得到提升。农村低保救助、特困供养人员救助做到应保尽保。文化、体育、新闻、广播等各项事业不断进步，村综合性文化服务中心覆盖率达100%，村级文化广场全覆盖。农村居民人均可支配收入达到15393元，同比增长7.4%。脱贫攻坚成效显著，脱贫攻坚与乡村振兴有效衔接，2020年4月，双辽市退出贫困县序列，实现10218户、19165人稳定脱贫，全市50个贫困村（含3个农村社区）达标退出。</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五年来，双辽市以习近平新时代中国特色社会主义思想为引领，全面加强党的建设，深入贯彻落实国家、省、市文件精神，开拓创新、共克时艰，农业农村改革不断深化，新型工农、城乡关系加快形成，乡村振兴迈出了坚实步伐，农业农村实现了快速发展，为率先实现农业现代化奠定了坚实基础。</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13" w:name="bookmark7"/>
      <w:bookmarkEnd w:id="13"/>
      <w:bookmarkStart w:id="14" w:name="_Toc13204"/>
      <w:r>
        <w:rPr>
          <w:rFonts w:ascii="楷体" w:hAnsi="楷体" w:eastAsia="楷体" w:cs="楷体"/>
          <w:spacing w:val="0"/>
          <w:sz w:val="32"/>
          <w:szCs w:val="32"/>
        </w:rPr>
        <w:t>（二）“十四五”时期发展环境</w:t>
      </w:r>
      <w:bookmarkEnd w:id="14"/>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当前，世界正处于百年未有之大变局，国际发展环境日趋复杂多变，特别是受新冠肺炎疫情影响，经济发展形势将面临更多不确定因素。我国经济社会发展已由全面建成小康社会转向全面建设社会主义现代化</w:t>
      </w:r>
      <w:r>
        <w:rPr>
          <w:rFonts w:hint="eastAsia" w:ascii="仿宋" w:hAnsi="仿宋" w:eastAsia="仿宋" w:cs="仿宋"/>
          <w:spacing w:val="0"/>
          <w:sz w:val="32"/>
          <w:szCs w:val="32"/>
          <w:lang w:eastAsia="zh-CN"/>
        </w:rPr>
        <w:t>。</w:t>
      </w:r>
      <w:r>
        <w:rPr>
          <w:rFonts w:ascii="仿宋" w:hAnsi="仿宋" w:eastAsia="仿宋" w:cs="仿宋"/>
          <w:spacing w:val="0"/>
          <w:sz w:val="32"/>
          <w:szCs w:val="32"/>
        </w:rPr>
        <w:t>“十四五”时期国家发展的重点难点在“三农”，潜力后劲亦在“三农”。坚持稳字当头、稳中求进，牢牢守住保障国家粮食安全和不发生规模性返贫两条底线，扎实有序推进乡村发展、乡村建设、乡村治理等工作。新阶段、新形势和新格局的影响下，农业农村发展的机遇和挑战出现了新的发展变化。</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1.习近平总书记重要讲话重要指示精神为双辽农业农村发展指明了前进方向。</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以习近平新时代中国特色社会主义思想为统领的国家发展理念为农业农村现代化奠定了理论基础，习近平总书记在视察吉林视察四平时强调要把保障粮食安全放在突出位置，毫不放松抓好粮食生产，加快转变农业发展方式，在探索现代农业发展道路上积累更多经验，肩负起维护国家粮食安全政治责任，在黑土地保护上走在前列、多作贡献，争当农业现代化排头兵和乡村振兴排头兵。</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2.党和国家扶持农业农村发展的政策力度不断加大为双辽农业农村发展提供了重要的机遇。</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党的十八大以来，中央一号文件始终聚焦“三农”问题，国家出台一系列扶持“三农”政策，特别是党的十九大提出坚持农业农村优先发展，全力推动“三农”工作高质量发展，更加强化农业“压舱石”地位。《吉林省率先实现农业现代化总体规划（2019—2030年修订稿）》《吉林省农业可持续发展规划（2016—2030年）》对农业农村发展做出了具体部署，在一大批农业农村发展项目上给予资金扶持。“十四五”时期我国农业农村发展将重点推进实现农业高质高效、</w:t>
      </w:r>
      <w:r>
        <w:rPr>
          <w:spacing w:val="0"/>
          <w:sz w:val="32"/>
          <w:szCs w:val="32"/>
        </w:rPr>
        <w:fldChar w:fldCharType="begin"/>
      </w:r>
      <w:r>
        <w:rPr>
          <w:spacing w:val="0"/>
          <w:sz w:val="32"/>
          <w:szCs w:val="32"/>
        </w:rPr>
        <w:instrText xml:space="preserve"> HYPERLINK "http://www.zgxczx.cn/xiangcunzhenxing/" </w:instrText>
      </w:r>
      <w:r>
        <w:rPr>
          <w:spacing w:val="0"/>
          <w:sz w:val="32"/>
          <w:szCs w:val="32"/>
        </w:rPr>
        <w:fldChar w:fldCharType="separate"/>
      </w:r>
      <w:r>
        <w:rPr>
          <w:rFonts w:ascii="仿宋" w:hAnsi="仿宋" w:eastAsia="仿宋" w:cs="仿宋"/>
          <w:spacing w:val="0"/>
          <w:sz w:val="32"/>
          <w:szCs w:val="32"/>
        </w:rPr>
        <w:t>乡村</w:t>
      </w:r>
      <w:r>
        <w:rPr>
          <w:rFonts w:ascii="仿宋" w:hAnsi="仿宋" w:eastAsia="仿宋" w:cs="仿宋"/>
          <w:spacing w:val="0"/>
          <w:sz w:val="32"/>
          <w:szCs w:val="32"/>
        </w:rPr>
        <w:fldChar w:fldCharType="end"/>
      </w:r>
      <w:r>
        <w:rPr>
          <w:rFonts w:ascii="仿宋" w:hAnsi="仿宋" w:eastAsia="仿宋" w:cs="仿宋"/>
          <w:spacing w:val="0"/>
          <w:sz w:val="32"/>
          <w:szCs w:val="32"/>
        </w:rPr>
        <w:t>宜居宜业、农民富裕富足，加快实现农业农村现代化进程。农业农村发展必将迎来前所未有的新机遇。</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outlineLvl w:val="2"/>
        <w:rPr>
          <w:rFonts w:ascii="仿宋" w:hAnsi="仿宋" w:eastAsia="仿宋" w:cs="仿宋"/>
          <w:spacing w:val="0"/>
          <w:sz w:val="32"/>
          <w:szCs w:val="32"/>
        </w:rPr>
      </w:pPr>
      <w:bookmarkStart w:id="15" w:name="_Toc26536"/>
      <w:r>
        <w:rPr>
          <w:rFonts w:ascii="仿宋" w:hAnsi="仿宋" w:eastAsia="仿宋" w:cs="仿宋"/>
          <w:b/>
          <w:bCs/>
          <w:spacing w:val="0"/>
          <w:sz w:val="32"/>
          <w:szCs w:val="32"/>
        </w:rPr>
        <w:t>3.科技创新为双辽农业农村发展注入强劲动力。</w:t>
      </w:r>
      <w:bookmarkEnd w:id="15"/>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农业现代化关键在科技进步”。科技创新推动农业效率变革，提高农业全要素生产率。育种技术和生产技术创新提高农业土地生产率。机械化、信息化、智能化技术创新，推广更为精准、更为适用、更为有效的机械化技术和农业机械，提高农业劳动生产率。大力发展节水灌溉、水肥一体化等技术，通过综合技术集成来提高投入产出效率和农业成本收益率，实现农业节本增效。科技创新培育壮大新产业新业态，加工技术创新促进农产品加工业提档升级，多领域技术融合促进农业旅游业创新发展，信息化技术应用促进农业电商普及发展，推进“互联网+”现代农业行动，促进新型农业经营主体、加工流通企业与电商企业全面对接融合，推动线上线下互动发展。科技创新提高农业发展质量，更好满足人民日益增长的美好生活需要。</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outlineLvl w:val="2"/>
        <w:rPr>
          <w:rFonts w:ascii="仿宋" w:hAnsi="仿宋" w:eastAsia="仿宋" w:cs="仿宋"/>
          <w:spacing w:val="0"/>
          <w:sz w:val="32"/>
          <w:szCs w:val="32"/>
        </w:rPr>
      </w:pPr>
      <w:bookmarkStart w:id="16" w:name="_Toc23459"/>
      <w:r>
        <w:rPr>
          <w:rFonts w:ascii="仿宋" w:hAnsi="仿宋" w:eastAsia="仿宋" w:cs="仿宋"/>
          <w:b/>
          <w:bCs/>
          <w:spacing w:val="0"/>
          <w:sz w:val="32"/>
          <w:szCs w:val="32"/>
        </w:rPr>
        <w:t>4.生态环境持续优化为双辽农业农村发展提供了支撑条件。</w:t>
      </w:r>
      <w:bookmarkEnd w:id="16"/>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践行绿水青山就是金山银山理念，推进生态环境系统治理，让良好生态成为乡村振兴的支撑点。通过建设生态防护林、土壤沙化的有效治理，降低农村地区发生自然灾害的概率，利于农业生产顺利进行。通过实施黑土地保护、保护性耕作、测土配方施肥、科学防治病虫害、畜禽粪污资源化利用等技术，不仅降低农业生产对生态环境的污染、维持生态环境平衡，而且利于农作物正常生长，生产出绿色农产品，提高农产品的市场竞争力，促进农村经济快速高质量发展，实现乡村可持续发展的长远目标。</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5.与时俱进深化土地制度改革创新为双辽农业农村发展提供了动力支撑。</w:t>
      </w:r>
    </w:p>
    <w:p>
      <w:pPr>
        <w:pStyle w:val="4"/>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spacing w:val="0"/>
          <w:sz w:val="32"/>
          <w:szCs w:val="32"/>
        </w:rPr>
      </w:pPr>
      <w:r>
        <w:rPr>
          <w:rFonts w:ascii="仿宋" w:hAnsi="仿宋" w:eastAsia="仿宋" w:cs="仿宋"/>
          <w:spacing w:val="0"/>
          <w:sz w:val="32"/>
          <w:szCs w:val="32"/>
        </w:rPr>
        <w:t>通过农地“三权”分置改革，释放了农村劳动力，促进了</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城乡资本投资农业生产经营，加快了农地适度规模经营步伐，培育和发展新型农业经营主体，如家庭农场、合作社、龙头企业、社会化服务组织和农业产业化联合体等，使农村的农地、资金、技术、人才、人力等各种生产要素得到优化组合。深化土地制度改革推进脱贫地区发展的同时，政策将从“扶贫”转向“扶农”，建立农村低收入人口帮扶机制，稳定财政投入力度，接续推进脱贫地区发展，实现脱贫攻坚与乡村振兴的有效衔接。</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从制约瓶颈看，新的世情、国情和农情决定了未来五年我市农业农村现代化存在诸多不利因素。</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一是农业经济社会正在发生深刻变革。如何调动农民积极性，是农业产业发展必须突破的瓶颈。农村改革涉及的利益关系更加复杂，影响因素更加多样，任务更加艰巨，面临着思维创新、政策构建、财政支持等多重制约，尤其是破除二元结构、土地制度改革、农村集体产权制度改革、农村金融机制创新、农业经营体制创新、统筹城乡发展、激发农业发展内生动力等诸多难题，涉及多方利益格局调整，要处理的矛盾很多，面临着组织、领导、协调、指挥、管理的多重考验。</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二是农产品精深加工环节薄弱和转化率、增值率低。农业增值最重要的环节是加工转化，农产品加工滞后，加工转化增值率低，农产品转化增值困难，直接影响到农业现代化发展进程和农业整体效益的提升。科技含量高、深加工、高附加值的“高、精、尖、新”农产品不多，有广阔市场前景的产品不多，销往省外、国外的产品不多。</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三是新技术和科技人才缺乏。在种业技术、降肥节水技术、种苗高效繁育技术等关键领域缺乏有效突破，相关人才缺乏、创新动力不足、推广体系缺失，对农业现代化发展形成制约。</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四是农村社会矛盾逐渐凸显。乡村文化、民生事业发展仍然滞后，城乡公共服务水平仍存较大差距。农村“老龄化”“空心化”现象逐渐加剧，农村青壮劳动力、实用型人才短缺。乡村基础设施、人居环境、社会治理和基层党组织建设等方面仍存在一定短板。</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总之</w:t>
      </w:r>
      <w:r>
        <w:rPr>
          <w:rFonts w:hint="eastAsia" w:ascii="仿宋" w:hAnsi="仿宋" w:eastAsia="仿宋" w:cs="仿宋"/>
          <w:spacing w:val="0"/>
          <w:sz w:val="32"/>
          <w:szCs w:val="32"/>
          <w:lang w:eastAsia="zh-CN"/>
        </w:rPr>
        <w:t>，</w:t>
      </w:r>
      <w:r>
        <w:rPr>
          <w:rFonts w:ascii="仿宋" w:hAnsi="仿宋" w:eastAsia="仿宋" w:cs="仿宋"/>
          <w:spacing w:val="0"/>
          <w:sz w:val="32"/>
          <w:szCs w:val="32"/>
        </w:rPr>
        <w:t>“十四五”期间双辽农业农村发展要顺应时代要求，抓住难得的历史机遇，坚持用现代发展理念引领农业、用现代科学技术改造农业、用现代物质条件装备农业、用现代产业体系提升农业、用现代经营形式推进农业、用培养新型农民发展农业，着力突破瓶颈制约，全面推进乡村振兴，加快推进具有双辽特色的农业农村现代化进程。</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0"/>
        <w:rPr>
          <w:rFonts w:ascii="黑体" w:hAnsi="黑体" w:eastAsia="黑体" w:cs="黑体"/>
          <w:spacing w:val="0"/>
          <w:sz w:val="32"/>
          <w:szCs w:val="32"/>
        </w:rPr>
      </w:pPr>
      <w:bookmarkStart w:id="17" w:name="bookmark9"/>
      <w:bookmarkEnd w:id="17"/>
      <w:bookmarkStart w:id="18" w:name="_Toc20031"/>
      <w:r>
        <w:rPr>
          <w:rFonts w:ascii="黑体" w:hAnsi="黑体" w:eastAsia="黑体" w:cs="黑体"/>
          <w:spacing w:val="0"/>
          <w:sz w:val="32"/>
          <w:szCs w:val="32"/>
        </w:rPr>
        <w:t>二、总体要求</w:t>
      </w:r>
      <w:bookmarkEnd w:id="18"/>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19" w:name="bookmark11"/>
      <w:bookmarkEnd w:id="19"/>
      <w:bookmarkStart w:id="20" w:name="_Toc19761"/>
      <w:r>
        <w:rPr>
          <w:rFonts w:ascii="楷体" w:hAnsi="楷体" w:eastAsia="楷体" w:cs="楷体"/>
          <w:spacing w:val="0"/>
          <w:sz w:val="32"/>
          <w:szCs w:val="32"/>
        </w:rPr>
        <w:t>（一）总体思路</w:t>
      </w:r>
      <w:bookmarkEnd w:id="20"/>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高举习近平新时代中国特色社会主义思想伟大旗帜，深入学习贯彻党的十九大和十九届历次全会精神和省委十一届十次全会和双辽市委十五届九次全会精神，深入落实习近平总书记视察吉林视察四平重要讲话重要指示精神，把握新发展阶段，贯彻新发展理念，融入新发展格局</w:t>
      </w:r>
      <w:r>
        <w:rPr>
          <w:rFonts w:hint="eastAsia" w:ascii="仿宋" w:hAnsi="仿宋" w:eastAsia="仿宋" w:cs="仿宋"/>
          <w:spacing w:val="0"/>
          <w:sz w:val="32"/>
          <w:szCs w:val="32"/>
          <w:lang w:eastAsia="zh-CN"/>
        </w:rPr>
        <w:t>，</w:t>
      </w:r>
      <w:r>
        <w:rPr>
          <w:rFonts w:ascii="仿宋" w:hAnsi="仿宋" w:eastAsia="仿宋" w:cs="仿宋"/>
          <w:spacing w:val="0"/>
          <w:sz w:val="32"/>
          <w:szCs w:val="32"/>
        </w:rPr>
        <w:t>以实施乡村振兴为统领，以高质量发展为主题，以供给侧结构性改革为主线，以率先实现农业现代化为目标</w:t>
      </w:r>
      <w:r>
        <w:rPr>
          <w:rFonts w:hint="eastAsia" w:ascii="仿宋" w:hAnsi="仿宋" w:eastAsia="仿宋" w:cs="仿宋"/>
          <w:spacing w:val="0"/>
          <w:sz w:val="32"/>
          <w:szCs w:val="32"/>
          <w:lang w:eastAsia="zh-CN"/>
        </w:rPr>
        <w:t>，</w:t>
      </w:r>
      <w:r>
        <w:rPr>
          <w:rFonts w:ascii="仿宋" w:hAnsi="仿宋" w:eastAsia="仿宋" w:cs="仿宋"/>
          <w:spacing w:val="0"/>
          <w:sz w:val="32"/>
          <w:szCs w:val="32"/>
        </w:rPr>
        <w:t>以深化改革和创新为动力，创建大粮仓、大肉库，构建“一核、三区、六带、多基地（园区）”农业空间布局，加强黑土地保护和利用，推动粮经饲统筹、农牧特结合、种养加一体、一二三产业融合发展，实施乡村建设行动，统筹城乡一体化发展，着力打造“吉林省特色农业引领区”、“吉林省种养循环核心示范区支撑区”、“四平市粮食产能保障基地”、“东北牲畜集散交易中心”，走出具有双辽特色的农业农村现代化发展道路，争创乡村振兴和农业现代化排头兵。</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21" w:name="bookmark13"/>
      <w:bookmarkEnd w:id="21"/>
      <w:bookmarkStart w:id="22" w:name="_Toc17593"/>
      <w:r>
        <w:rPr>
          <w:rFonts w:ascii="楷体" w:hAnsi="楷体" w:eastAsia="楷体" w:cs="楷体"/>
          <w:spacing w:val="0"/>
          <w:sz w:val="32"/>
          <w:szCs w:val="32"/>
        </w:rPr>
        <w:t>（二）发展原则</w:t>
      </w:r>
      <w:bookmarkEnd w:id="22"/>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坚持创新发展，着力转变方式。</w:t>
      </w:r>
      <w:r>
        <w:rPr>
          <w:rFonts w:ascii="仿宋" w:hAnsi="仿宋" w:eastAsia="仿宋" w:cs="仿宋"/>
          <w:spacing w:val="0"/>
          <w:sz w:val="32"/>
          <w:szCs w:val="32"/>
        </w:rPr>
        <w:t>把创新作为推进特色现代农业发展的根本动力，不断将新的发展理念、新的生产要素、新的经营模式、新的经营主体、新的体制机制引入农业，加快转变农业发展方式；统筹农业科技创新、制度创新和管理创新，以数字乡村建设引领农业现代化，推动数字产业化、产业数字化。</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坚持协调发展，实施梯度推进。</w:t>
      </w:r>
      <w:r>
        <w:rPr>
          <w:rFonts w:ascii="仿宋" w:hAnsi="仿宋" w:eastAsia="仿宋" w:cs="仿宋"/>
          <w:spacing w:val="0"/>
          <w:sz w:val="32"/>
          <w:szCs w:val="32"/>
        </w:rPr>
        <w:t>根据市场多元化、优质化的需求态势，统筹协调，合力破解瓶颈，因地制宜采取有选择、差别化的农业类型、农业模式和政策，突出区域特色，重点突破，梯度推进。促进特色农产品的生产、加工与营销一体化发展，鼓励有条件的乡镇率先实现农业现代化。</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坚持绿色发展，改善生态环境。</w:t>
      </w:r>
      <w:r>
        <w:rPr>
          <w:rFonts w:ascii="仿宋" w:hAnsi="仿宋" w:eastAsia="仿宋" w:cs="仿宋"/>
          <w:spacing w:val="0"/>
          <w:sz w:val="32"/>
          <w:szCs w:val="32"/>
        </w:rPr>
        <w:t>以资源节约、环境友好、持续发展的生态经济观为指导，坚持开发与保护有机统一，高效与生态有机统一，构建有利于农业可持续发展的产业体系、技术体系和政策体系，强化商品粮基地生态安全建设，完善农产品质量安全监管体系，有效保护、有序开发、合理利用农业资源，全面提升农业可持续发展水平。</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坚持开放发展，增强发展活力。</w:t>
      </w:r>
      <w:r>
        <w:rPr>
          <w:rFonts w:ascii="仿宋" w:hAnsi="仿宋" w:eastAsia="仿宋" w:cs="仿宋"/>
          <w:spacing w:val="0"/>
          <w:sz w:val="32"/>
          <w:szCs w:val="32"/>
        </w:rPr>
        <w:t>充分发挥政府引导作用和市场配置资源的决定性作用，统筹利用国内与国际两种资源、两个市场，扩大农业对外开放，加强对外合作，引进农业龙头企业集团，构建农企政合作共赢的利益链接机制，拓宽市场主体盈利空间，激发市场主体投资农业的动力，形成合作共赢融合发展的良好格局。</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坚持共享发展，增进农民福祉。</w:t>
      </w:r>
      <w:r>
        <w:rPr>
          <w:rFonts w:ascii="仿宋" w:hAnsi="仿宋" w:eastAsia="仿宋" w:cs="仿宋"/>
          <w:spacing w:val="0"/>
          <w:sz w:val="32"/>
          <w:szCs w:val="32"/>
        </w:rPr>
        <w:t>把坚持农民主体地位、增进农民福祉作为农业工作的出发点和落脚点，以工促农、以城带乡，激发农民创造、创新、创业活力，形成大众创业、万众创新的生动局面，完善惠农强农富农政策，拓宽农业增效、农民增收渠道，让农民更多地分享改革开放红利，不断改善生产生活条件，实现城乡统筹和谐发展。</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23" w:name="bookmark15"/>
      <w:bookmarkEnd w:id="23"/>
      <w:bookmarkStart w:id="24" w:name="_Toc22267"/>
      <w:r>
        <w:rPr>
          <w:rFonts w:ascii="楷体" w:hAnsi="楷体" w:eastAsia="楷体" w:cs="楷体"/>
          <w:spacing w:val="0"/>
          <w:sz w:val="32"/>
          <w:szCs w:val="32"/>
        </w:rPr>
        <w:t>（三）发展定位</w:t>
      </w:r>
      <w:bookmarkEnd w:id="24"/>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坚持以目标为导向，以创新为动力，不断优化农业产业结构，充分挖掘优势资源、做强做大特色产业，形成布局合理、功能多样、业态丰富、特色鲜明、产业链条完整的发展新格局，</w:t>
      </w:r>
      <w:r>
        <w:rPr>
          <w:rFonts w:hint="eastAsia" w:ascii="仿宋" w:hAnsi="仿宋" w:eastAsia="仿宋" w:cs="仿宋"/>
          <w:color w:val="auto"/>
          <w:spacing w:val="0"/>
          <w:sz w:val="32"/>
          <w:szCs w:val="32"/>
          <w:lang w:eastAsia="zh-CN"/>
        </w:rPr>
        <w:t>坚决</w:t>
      </w:r>
      <w:r>
        <w:rPr>
          <w:rFonts w:ascii="仿宋" w:hAnsi="仿宋" w:eastAsia="仿宋" w:cs="仿宋"/>
          <w:spacing w:val="0"/>
          <w:sz w:val="32"/>
          <w:szCs w:val="32"/>
        </w:rPr>
        <w:t>确保粮食安全，保住“全省粮食生产十佳县”，建设大粮仓、大肉库，着力打造</w:t>
      </w:r>
      <w:r>
        <w:rPr>
          <w:rFonts w:ascii="仿宋" w:hAnsi="仿宋" w:eastAsia="仿宋" w:cs="仿宋"/>
          <w:b/>
          <w:bCs/>
          <w:spacing w:val="0"/>
          <w:sz w:val="32"/>
          <w:szCs w:val="32"/>
        </w:rPr>
        <w:t>“吉林省特色农业引领区”、“吉林省种养循环核心示范区支撑区”、“四平市粮食产能保障基地”、“东北牲畜集散交易中心”。</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“吉林省特色农业引领区”。</w:t>
      </w:r>
      <w:r>
        <w:rPr>
          <w:rFonts w:ascii="仿宋" w:hAnsi="仿宋" w:eastAsia="仿宋" w:cs="仿宋"/>
          <w:spacing w:val="0"/>
          <w:sz w:val="32"/>
          <w:szCs w:val="32"/>
        </w:rPr>
        <w:t>依托“双辽大米”“双辽花生”“双辽小米”等地理标识品牌、杂粮杂豆特色产业优势，做大做强水稻、花生、杂粮杂豆等特色产业，强化设施农业基地、规模化养殖基地和中草药材基地建设，大力发展绿色农产品，为特色农产品精深加工提供充足的原料</w:t>
      </w:r>
      <w:r>
        <w:rPr>
          <w:rFonts w:hint="eastAsia" w:ascii="仿宋" w:hAnsi="仿宋" w:eastAsia="仿宋" w:cs="仿宋"/>
          <w:spacing w:val="0"/>
          <w:sz w:val="32"/>
          <w:szCs w:val="32"/>
          <w:lang w:eastAsia="zh-CN"/>
        </w:rPr>
        <w:t>，</w:t>
      </w:r>
      <w:r>
        <w:rPr>
          <w:rFonts w:ascii="仿宋" w:hAnsi="仿宋" w:eastAsia="仿宋" w:cs="仿宋"/>
          <w:spacing w:val="0"/>
          <w:sz w:val="32"/>
          <w:szCs w:val="32"/>
        </w:rPr>
        <w:t>培植特色产业大园区，打造“绿色杂粮杂豆省级现代农业产业园区”，申报创建“省级花生现代农业产业园区”，成为吉林省特色农业引领区。</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“吉林省种养循环核心示范区支撑区”</w:t>
      </w:r>
      <w:r>
        <w:rPr>
          <w:rFonts w:ascii="Arial Unicode MS" w:hAnsi="Arial Unicode MS" w:eastAsia="Arial Unicode MS" w:cs="Arial Unicode MS"/>
          <w:spacing w:val="0"/>
          <w:sz w:val="32"/>
          <w:szCs w:val="32"/>
        </w:rPr>
        <w:t>。</w:t>
      </w:r>
      <w:r>
        <w:rPr>
          <w:rFonts w:ascii="仿宋" w:hAnsi="仿宋" w:eastAsia="仿宋" w:cs="仿宋"/>
          <w:spacing w:val="0"/>
          <w:sz w:val="32"/>
          <w:szCs w:val="32"/>
        </w:rPr>
        <w:t>围绕“吉林省种养循环核心示范区”建设，按照“以地定养、以养肥地”种养结合循环发展理念，坚持高站位高标准发展</w:t>
      </w:r>
      <w:r>
        <w:rPr>
          <w:rFonts w:hint="eastAsia" w:ascii="仿宋" w:hAnsi="仿宋" w:eastAsia="仿宋" w:cs="仿宋"/>
          <w:spacing w:val="0"/>
          <w:sz w:val="32"/>
          <w:szCs w:val="32"/>
          <w:lang w:eastAsia="zh-CN"/>
        </w:rPr>
        <w:t>，</w:t>
      </w:r>
      <w:r>
        <w:rPr>
          <w:rFonts w:ascii="仿宋" w:hAnsi="仿宋" w:eastAsia="仿宋" w:cs="仿宋"/>
          <w:spacing w:val="0"/>
          <w:sz w:val="32"/>
          <w:szCs w:val="32"/>
        </w:rPr>
        <w:t>巩固提升地方特色畜禽规模，不断延伸饲料和屠宰加工业产业链，着力推进种养加一体化、产供销一条龙</w:t>
      </w:r>
      <w:r>
        <w:rPr>
          <w:rFonts w:hint="eastAsia" w:ascii="仿宋" w:hAnsi="仿宋" w:eastAsia="仿宋" w:cs="仿宋"/>
          <w:spacing w:val="0"/>
          <w:sz w:val="32"/>
          <w:szCs w:val="32"/>
          <w:lang w:eastAsia="zh-CN"/>
        </w:rPr>
        <w:t>，</w:t>
      </w:r>
      <w:r>
        <w:rPr>
          <w:rFonts w:ascii="仿宋" w:hAnsi="仿宋" w:eastAsia="仿宋" w:cs="仿宋"/>
          <w:spacing w:val="0"/>
          <w:sz w:val="32"/>
          <w:szCs w:val="32"/>
        </w:rPr>
        <w:t>实现耕种——粮食（秸秆）</w:t>
      </w:r>
      <w:r>
        <w:rPr>
          <w:rFonts w:hint="eastAsia" w:ascii="仿宋" w:hAnsi="仿宋" w:eastAsia="仿宋" w:cs="仿宋"/>
          <w:spacing w:val="0"/>
          <w:sz w:val="32"/>
          <w:szCs w:val="32"/>
          <w:lang w:eastAsia="zh-CN"/>
        </w:rPr>
        <w:t>——</w:t>
      </w:r>
      <w:r>
        <w:rPr>
          <w:rFonts w:ascii="仿宋" w:hAnsi="仿宋" w:eastAsia="仿宋" w:cs="仿宋"/>
          <w:spacing w:val="0"/>
          <w:sz w:val="32"/>
          <w:szCs w:val="32"/>
        </w:rPr>
        <w:t>饲料——养殖——粪肥——耕种闭环</w:t>
      </w:r>
      <w:r>
        <w:rPr>
          <w:rFonts w:hint="eastAsia" w:ascii="仿宋" w:hAnsi="仿宋" w:eastAsia="仿宋" w:cs="仿宋"/>
          <w:spacing w:val="0"/>
          <w:sz w:val="32"/>
          <w:szCs w:val="32"/>
          <w:lang w:eastAsia="zh-CN"/>
        </w:rPr>
        <w:t>，</w:t>
      </w:r>
      <w:r>
        <w:rPr>
          <w:rFonts w:ascii="仿宋" w:hAnsi="仿宋" w:eastAsia="仿宋" w:cs="仿宋"/>
          <w:spacing w:val="0"/>
          <w:sz w:val="32"/>
          <w:szCs w:val="32"/>
        </w:rPr>
        <w:t>打造粮食生产和畜禽饲养绿色循环发展模式</w:t>
      </w:r>
      <w:r>
        <w:rPr>
          <w:rFonts w:hint="eastAsia" w:ascii="仿宋" w:hAnsi="仿宋" w:eastAsia="仿宋" w:cs="仿宋"/>
          <w:spacing w:val="0"/>
          <w:sz w:val="32"/>
          <w:szCs w:val="32"/>
          <w:lang w:eastAsia="zh-CN"/>
        </w:rPr>
        <w:t>，</w:t>
      </w:r>
      <w:r>
        <w:rPr>
          <w:rFonts w:ascii="仿宋" w:hAnsi="仿宋" w:eastAsia="仿宋" w:cs="仿宋"/>
          <w:spacing w:val="0"/>
          <w:sz w:val="32"/>
          <w:szCs w:val="32"/>
        </w:rPr>
        <w:t>为四平建设“吉林省种养循环核心示范区”提供坚强支撑。</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“四平市粮食产能保障基地”。</w:t>
      </w:r>
      <w:r>
        <w:rPr>
          <w:rFonts w:ascii="仿宋" w:hAnsi="仿宋" w:eastAsia="仿宋" w:cs="仿宋"/>
          <w:spacing w:val="0"/>
          <w:sz w:val="32"/>
          <w:szCs w:val="32"/>
        </w:rPr>
        <w:t>双辽市已跻身全国粮食生产百强县行列,荣获“全国粮食生产先进县”称号</w:t>
      </w:r>
      <w:r>
        <w:rPr>
          <w:rFonts w:hint="eastAsia" w:ascii="仿宋" w:hAnsi="仿宋" w:eastAsia="仿宋" w:cs="仿宋"/>
          <w:spacing w:val="0"/>
          <w:sz w:val="32"/>
          <w:szCs w:val="32"/>
          <w:lang w:eastAsia="zh-CN"/>
        </w:rPr>
        <w:t>，</w:t>
      </w:r>
      <w:r>
        <w:rPr>
          <w:rFonts w:ascii="仿宋" w:hAnsi="仿宋" w:eastAsia="仿宋" w:cs="仿宋"/>
          <w:spacing w:val="0"/>
          <w:sz w:val="32"/>
          <w:szCs w:val="32"/>
        </w:rPr>
        <w:t>粮食产量达到四平粮食产量的三分之一。扛起粮食安全的政治责任、逐步提高粮食生产综合效益。坚持“藏粮于地”，加强黑土地保护和高标准农田建设；坚持“藏粮于技”，用科技提升粮食产量，全力推进科技成果转化和应用，深入实施“种子工程”；破除体制机制对农业发展的束缚，确保粮食产量稳定在28亿斤阶段性水平，为四平市粮食稳产高产奠定坚实基础。</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“东北牲畜集散交易中心”。</w:t>
      </w:r>
      <w:r>
        <w:rPr>
          <w:rFonts w:ascii="仿宋" w:hAnsi="仿宋" w:eastAsia="仿宋" w:cs="仿宋"/>
          <w:spacing w:val="0"/>
          <w:sz w:val="32"/>
          <w:szCs w:val="32"/>
        </w:rPr>
        <w:t>双辽是吉林省畜牧业大县，</w:t>
      </w:r>
    </w:p>
    <w:p>
      <w:pPr>
        <w:pStyle w:val="4"/>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spacing w:val="0"/>
          <w:sz w:val="32"/>
          <w:szCs w:val="32"/>
        </w:rPr>
      </w:pPr>
      <w:r>
        <w:rPr>
          <w:rFonts w:ascii="仿宋" w:hAnsi="仿宋" w:eastAsia="仿宋" w:cs="仿宋"/>
          <w:spacing w:val="0"/>
          <w:sz w:val="32"/>
          <w:szCs w:val="32"/>
        </w:rPr>
        <w:t>双辽市玻璃山镇牲畜交易市场是全国闻名的牲畜交易集散地，辐射辽宁、吉林、黑龙江、内蒙古、山东等多省（区）。不断加大市场建设力度,逐渐完善提升基础设施和服务功能，发展配套的上下游产业及社会化服务业，引导农牧民按照市场需求优化养殖结构，扩大养殖业的规模，不断扩大辐射带动区域范围，实现牲畜及畜产品的高效流通和农民收入的持续增加，使资源优势转换为经济优势，把玻璃山镇牲畜交易市场打造成“东北牲畜集散交易中心”，带动提升双辽市的知名度和影响力。</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25" w:name="_Toc29656"/>
      <w:r>
        <w:rPr>
          <w:rFonts w:ascii="楷体" w:hAnsi="楷体" w:eastAsia="楷体" w:cs="楷体"/>
          <w:spacing w:val="0"/>
          <w:sz w:val="32"/>
          <w:szCs w:val="32"/>
        </w:rPr>
        <w:t>（四）发展目标</w:t>
      </w:r>
      <w:bookmarkEnd w:id="25"/>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到2025年，农业农村经济发展稳中有进，农业供给侧结构更加优化，一二三产深度融合发展，农业农村基础设施不断完善，农村人居环境显著改善，农民生活更加富裕，脱贫攻坚成果巩固拓展，乡村振兴成效显著，基本实现农业现代化。</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农业经济实力显著增强。</w:t>
      </w:r>
      <w:r>
        <w:rPr>
          <w:rFonts w:ascii="仿宋" w:hAnsi="仿宋" w:eastAsia="仿宋" w:cs="仿宋"/>
          <w:spacing w:val="0"/>
          <w:sz w:val="32"/>
          <w:szCs w:val="32"/>
        </w:rPr>
        <w:t>全市农林牧渔业总产值达到1</w:t>
      </w:r>
      <w:r>
        <w:rPr>
          <w:rFonts w:hint="eastAsia" w:ascii="仿宋" w:hAnsi="仿宋" w:eastAsia="仿宋" w:cs="仿宋"/>
          <w:spacing w:val="0"/>
          <w:sz w:val="32"/>
          <w:szCs w:val="32"/>
          <w:lang w:val="en-US" w:eastAsia="zh-CN"/>
        </w:rPr>
        <w:t>05</w:t>
      </w:r>
      <w:r>
        <w:rPr>
          <w:rFonts w:ascii="仿宋" w:hAnsi="仿宋" w:eastAsia="仿宋" w:cs="仿宋"/>
          <w:spacing w:val="0"/>
          <w:sz w:val="32"/>
          <w:szCs w:val="32"/>
        </w:rPr>
        <w:t>亿元，年均增长5%以上。农村居民人均可支配收入年均增长7%。农产品加工业产值达到10亿元，规模以上农产品加工企业达到15户，主营业务收入达8亿元。</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农产品综合生产能力明显提高。</w:t>
      </w:r>
      <w:r>
        <w:rPr>
          <w:rFonts w:ascii="仿宋" w:hAnsi="仿宋" w:eastAsia="仿宋" w:cs="仿宋"/>
          <w:spacing w:val="0"/>
          <w:sz w:val="32"/>
          <w:szCs w:val="32"/>
        </w:rPr>
        <w:t>全市粮食作物播种面积达2</w:t>
      </w:r>
      <w:r>
        <w:rPr>
          <w:rFonts w:hint="eastAsia" w:ascii="仿宋" w:hAnsi="仿宋" w:eastAsia="仿宋" w:cs="仿宋"/>
          <w:spacing w:val="0"/>
          <w:sz w:val="32"/>
          <w:szCs w:val="32"/>
          <w:lang w:val="en-US" w:eastAsia="zh-CN"/>
        </w:rPr>
        <w:t>66</w:t>
      </w:r>
      <w:r>
        <w:rPr>
          <w:rFonts w:ascii="仿宋" w:hAnsi="仿宋" w:eastAsia="仿宋" w:cs="仿宋"/>
          <w:spacing w:val="0"/>
          <w:sz w:val="32"/>
          <w:szCs w:val="32"/>
        </w:rPr>
        <w:t>万亩以上，正常年景下粮食综合生产能力达到2</w:t>
      </w:r>
      <w:r>
        <w:rPr>
          <w:rFonts w:hint="eastAsia" w:ascii="仿宋" w:hAnsi="仿宋" w:eastAsia="仿宋" w:cs="仿宋"/>
          <w:spacing w:val="0"/>
          <w:sz w:val="32"/>
          <w:szCs w:val="32"/>
          <w:lang w:val="en-US" w:eastAsia="zh-CN"/>
        </w:rPr>
        <w:t>6.5</w:t>
      </w:r>
      <w:r>
        <w:rPr>
          <w:rFonts w:ascii="仿宋" w:hAnsi="仿宋" w:eastAsia="仿宋" w:cs="仿宋"/>
          <w:spacing w:val="0"/>
          <w:sz w:val="32"/>
          <w:szCs w:val="32"/>
        </w:rPr>
        <w:t>亿斤阶段性水平。蔬菜总产量达20万吨左右。全市肉蛋奶产量达13.6万吨左右，畜禽养殖规模化率达到47%。</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hint="eastAsia" w:ascii="仿宋" w:hAnsi="仿宋" w:eastAsia="仿宋" w:cs="仿宋"/>
          <w:spacing w:val="0"/>
          <w:sz w:val="32"/>
          <w:szCs w:val="32"/>
          <w:lang w:eastAsia="zh-CN"/>
        </w:rPr>
      </w:pPr>
      <w:r>
        <w:rPr>
          <w:rFonts w:ascii="仿宋" w:hAnsi="仿宋" w:eastAsia="仿宋" w:cs="仿宋"/>
          <w:b/>
          <w:bCs/>
          <w:spacing w:val="0"/>
          <w:sz w:val="32"/>
          <w:szCs w:val="32"/>
        </w:rPr>
        <w:t>农业基础装备和科技支撑能力持续提升。</w:t>
      </w:r>
      <w:r>
        <w:rPr>
          <w:rFonts w:ascii="仿宋" w:hAnsi="仿宋" w:eastAsia="仿宋" w:cs="仿宋"/>
          <w:spacing w:val="0"/>
          <w:sz w:val="32"/>
          <w:szCs w:val="32"/>
        </w:rPr>
        <w:t>大力实施高标准农田、保护性耕作、黑土地保护利用等工程，黑土地保护面积达到235万亩，保护性耕作面积达到215万亩，高标准农田建设面积达到180万亩，全市主要农作物耕种收综合机械化率达96.5%。农业面源污染得到有效遏制，主要农作物化肥利用率和农药利用率达43%以上；农业科技进步贡献率达65%</w:t>
      </w:r>
      <w:r>
        <w:rPr>
          <w:rFonts w:hint="eastAsia" w:ascii="仿宋" w:hAnsi="仿宋" w:eastAsia="仿宋" w:cs="仿宋"/>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产业融合发展取得明显成效。</w:t>
      </w:r>
      <w:r>
        <w:rPr>
          <w:rFonts w:ascii="仿宋" w:hAnsi="仿宋" w:eastAsia="仿宋" w:cs="仿宋"/>
          <w:spacing w:val="0"/>
          <w:sz w:val="32"/>
          <w:szCs w:val="32"/>
        </w:rPr>
        <w:t>东北牲畜集散交易中心建设取得突破性进展，辐射带动区域范围不断扩大。以园区建设为载体，全面推进一二三产业融合发展，省级“绿色杂粮杂豆现代农业产业园”初具规模，完成省级“花生现代农业产业园”创建工作，推进“鲜食玉米现代农业产业园”“生猪现代农业产业园”“水稻现代农业产业园”“肉羊养殖加工现代农业产业园”等一二三产业融合发展园区和示范基地的建设。</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乡村建设稳步推进。</w:t>
      </w:r>
      <w:r>
        <w:rPr>
          <w:rFonts w:ascii="仿宋" w:hAnsi="仿宋" w:eastAsia="仿宋" w:cs="仿宋"/>
          <w:spacing w:val="0"/>
          <w:sz w:val="32"/>
          <w:szCs w:val="32"/>
        </w:rPr>
        <w:t>农村人居环境持续改善，民生短板加快补齐，农村基本公共服务均等化水平明显提高，多层次社会保障体系更加健全。农村卫生厕所普及率、农村生活垃圾无害化处理率、生活污水治理率明显提升；农村基础设施和公共服务能力不断完善。“数字乡村”建设取得重大突破。农业生产社会化服务覆盖率显著提高。</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pacing w:val="0"/>
          <w:sz w:val="32"/>
          <w:szCs w:val="32"/>
        </w:rPr>
      </w:pPr>
      <w:r>
        <w:rPr>
          <w:rFonts w:ascii="仿宋" w:hAnsi="仿宋" w:eastAsia="仿宋" w:cs="仿宋"/>
          <w:b/>
          <w:bCs/>
          <w:spacing w:val="0"/>
          <w:sz w:val="32"/>
          <w:szCs w:val="32"/>
        </w:rPr>
        <w:t>乡村治理能力进一步增强。</w:t>
      </w:r>
      <w:r>
        <w:rPr>
          <w:rFonts w:ascii="仿宋" w:hAnsi="仿宋" w:eastAsia="仿宋" w:cs="仿宋"/>
          <w:spacing w:val="0"/>
          <w:sz w:val="32"/>
          <w:szCs w:val="32"/>
        </w:rPr>
        <w:t>党组织领导的农村基层组织建设明显加强，乡村治理体系更加健全，乡村民主法治建设取得明显成效，乡村文明程度有较大提升，乡村社会治安防控体系逐步完善，农村发展安全保障更加有力。</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3" w:firstLineChars="200"/>
        <w:jc w:val="both"/>
        <w:textAlignment w:val="baseline"/>
        <w:rPr>
          <w:rFonts w:ascii="仿宋" w:hAnsi="仿宋" w:eastAsia="仿宋" w:cs="仿宋"/>
          <w:sz w:val="31"/>
          <w:szCs w:val="31"/>
        </w:rPr>
      </w:pPr>
      <w:r>
        <w:rPr>
          <w:rFonts w:ascii="仿宋" w:hAnsi="仿宋" w:eastAsia="仿宋" w:cs="仿宋"/>
          <w:b/>
          <w:bCs/>
          <w:spacing w:val="0"/>
          <w:sz w:val="32"/>
          <w:szCs w:val="32"/>
        </w:rPr>
        <w:t>脱贫攻坚成果持续巩固。</w:t>
      </w:r>
      <w:r>
        <w:rPr>
          <w:rFonts w:ascii="仿宋" w:hAnsi="仿宋" w:eastAsia="仿宋" w:cs="仿宋"/>
          <w:spacing w:val="0"/>
          <w:sz w:val="32"/>
          <w:szCs w:val="32"/>
        </w:rPr>
        <w:t>脱贫攻坚政策体系和工作机制同乡村振兴有效衔接，脱贫人口“两不愁三保障”成果有效巩固，防止返贫动态监测和帮扶机制健全完善并有效运转，杜绝规模性返贫现象的发生。</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20" w:firstLineChars="200"/>
        <w:jc w:val="both"/>
        <w:textAlignment w:val="baseline"/>
        <w:rPr>
          <w:rFonts w:ascii="仿宋" w:hAnsi="仿宋" w:eastAsia="仿宋" w:cs="仿宋"/>
          <w:sz w:val="31"/>
          <w:szCs w:val="31"/>
        </w:rPr>
        <w:sectPr>
          <w:headerReference r:id="rId6" w:type="default"/>
          <w:footerReference r:id="rId7" w:type="default"/>
          <w:pgSz w:w="11906" w:h="16839"/>
          <w:pgMar w:top="1417" w:right="1587" w:bottom="1417" w:left="1587" w:header="0" w:footer="1094" w:gutter="0"/>
          <w:pgNumType w:fmt="decimal" w:start="1"/>
          <w:cols w:space="0" w:num="1"/>
          <w:rtlGutter w:val="0"/>
          <w:docGrid w:linePitch="0" w:charSpace="0"/>
        </w:sectPr>
      </w:pPr>
    </w:p>
    <w:p>
      <w:pPr>
        <w:keepNext w:val="0"/>
        <w:keepLines w:val="0"/>
        <w:pageBreakBefore w:val="0"/>
        <w:widowControl w:val="0"/>
        <w:kinsoku/>
        <w:wordWrap/>
        <w:overflowPunct w:val="0"/>
        <w:topLinePunct w:val="0"/>
        <w:bidi w:val="0"/>
        <w:spacing w:before="100" w:line="222" w:lineRule="auto"/>
        <w:ind w:left="2501"/>
        <w:jc w:val="both"/>
        <w:outlineLvl w:val="0"/>
        <w:rPr>
          <w:rFonts w:ascii="仿宋" w:hAnsi="仿宋" w:eastAsia="仿宋" w:cs="仿宋"/>
          <w:sz w:val="31"/>
          <w:szCs w:val="31"/>
        </w:rPr>
      </w:pPr>
      <w:bookmarkStart w:id="26" w:name="_Toc10185"/>
      <w:r>
        <w:rPr>
          <w:rFonts w:ascii="仿宋" w:hAnsi="仿宋" w:eastAsia="仿宋" w:cs="仿宋"/>
          <w:b/>
          <w:bCs/>
          <w:spacing w:val="3"/>
          <w:sz w:val="31"/>
          <w:szCs w:val="31"/>
        </w:rPr>
        <w:t>双辽市“十四五”农业农村发展目标</w:t>
      </w:r>
      <w:bookmarkEnd w:id="26"/>
    </w:p>
    <w:p>
      <w:pPr>
        <w:keepNext w:val="0"/>
        <w:keepLines w:val="0"/>
        <w:pageBreakBefore w:val="0"/>
        <w:widowControl w:val="0"/>
        <w:kinsoku/>
        <w:wordWrap/>
        <w:overflowPunct w:val="0"/>
        <w:topLinePunct w:val="0"/>
        <w:bidi w:val="0"/>
        <w:spacing w:line="201" w:lineRule="exact"/>
        <w:jc w:val="both"/>
      </w:pPr>
    </w:p>
    <w:tbl>
      <w:tblPr>
        <w:tblStyle w:val="9"/>
        <w:tblW w:w="94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457"/>
        <w:gridCol w:w="4002"/>
        <w:gridCol w:w="867"/>
        <w:gridCol w:w="1371"/>
        <w:gridCol w:w="1126"/>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26" w:type="dxa"/>
            <w:textDirection w:val="tbRlV"/>
            <w:vAlign w:val="top"/>
          </w:tcPr>
          <w:p>
            <w:pPr>
              <w:pStyle w:val="10"/>
              <w:keepNext w:val="0"/>
              <w:keepLines w:val="0"/>
              <w:pageBreakBefore w:val="0"/>
              <w:widowControl w:val="0"/>
              <w:kinsoku/>
              <w:wordWrap/>
              <w:overflowPunct w:val="0"/>
              <w:topLinePunct w:val="0"/>
              <w:bidi w:val="0"/>
              <w:spacing w:before="138" w:line="206" w:lineRule="auto"/>
              <w:ind w:left="40"/>
              <w:jc w:val="both"/>
            </w:pPr>
            <w:r>
              <w:rPr>
                <w:spacing w:val="-1"/>
              </w:rPr>
              <w:t>分类</w:t>
            </w:r>
          </w:p>
        </w:tc>
        <w:tc>
          <w:tcPr>
            <w:tcW w:w="457" w:type="dxa"/>
            <w:textDirection w:val="tbRlV"/>
            <w:vAlign w:val="top"/>
          </w:tcPr>
          <w:p>
            <w:pPr>
              <w:pStyle w:val="10"/>
              <w:keepNext w:val="0"/>
              <w:keepLines w:val="0"/>
              <w:pageBreakBefore w:val="0"/>
              <w:widowControl w:val="0"/>
              <w:kinsoku/>
              <w:wordWrap/>
              <w:overflowPunct w:val="0"/>
              <w:topLinePunct w:val="0"/>
              <w:bidi w:val="0"/>
              <w:spacing w:before="49" w:line="208" w:lineRule="auto"/>
              <w:ind w:left="40"/>
              <w:jc w:val="both"/>
            </w:pPr>
            <w:r>
              <w:rPr>
                <w:spacing w:val="-1"/>
              </w:rPr>
              <w:t>序号</w:t>
            </w:r>
          </w:p>
        </w:tc>
        <w:tc>
          <w:tcPr>
            <w:tcW w:w="4002" w:type="dxa"/>
            <w:vAlign w:val="top"/>
          </w:tcPr>
          <w:p>
            <w:pPr>
              <w:pStyle w:val="10"/>
              <w:keepNext w:val="0"/>
              <w:keepLines w:val="0"/>
              <w:pageBreakBefore w:val="0"/>
              <w:widowControl w:val="0"/>
              <w:kinsoku/>
              <w:wordWrap/>
              <w:overflowPunct w:val="0"/>
              <w:topLinePunct w:val="0"/>
              <w:bidi w:val="0"/>
              <w:spacing w:before="197" w:line="217" w:lineRule="auto"/>
              <w:ind w:left="1781"/>
              <w:jc w:val="both"/>
            </w:pPr>
            <w:r>
              <w:rPr>
                <w:spacing w:val="-5"/>
              </w:rPr>
              <w:t>主要指标</w:t>
            </w:r>
          </w:p>
        </w:tc>
        <w:tc>
          <w:tcPr>
            <w:tcW w:w="867" w:type="dxa"/>
            <w:vAlign w:val="top"/>
          </w:tcPr>
          <w:p>
            <w:pPr>
              <w:pStyle w:val="10"/>
              <w:keepNext w:val="0"/>
              <w:keepLines w:val="0"/>
              <w:pageBreakBefore w:val="0"/>
              <w:widowControl w:val="0"/>
              <w:kinsoku/>
              <w:wordWrap/>
              <w:overflowPunct w:val="0"/>
              <w:topLinePunct w:val="0"/>
              <w:bidi w:val="0"/>
              <w:spacing w:before="196" w:line="216" w:lineRule="auto"/>
              <w:ind w:left="206"/>
              <w:jc w:val="both"/>
            </w:pPr>
            <w:r>
              <w:rPr>
                <w:spacing w:val="-8"/>
              </w:rPr>
              <w:t>单位</w:t>
            </w:r>
          </w:p>
        </w:tc>
        <w:tc>
          <w:tcPr>
            <w:tcW w:w="1371" w:type="dxa"/>
            <w:vAlign w:val="top"/>
          </w:tcPr>
          <w:p>
            <w:pPr>
              <w:pStyle w:val="10"/>
              <w:keepNext w:val="0"/>
              <w:keepLines w:val="0"/>
              <w:pageBreakBefore w:val="0"/>
              <w:widowControl w:val="0"/>
              <w:kinsoku/>
              <w:wordWrap/>
              <w:overflowPunct w:val="0"/>
              <w:topLinePunct w:val="0"/>
              <w:bidi w:val="0"/>
              <w:spacing w:before="40" w:line="224" w:lineRule="auto"/>
              <w:ind w:left="111" w:right="4" w:firstLine="218"/>
              <w:jc w:val="both"/>
            </w:pPr>
            <w:r>
              <w:rPr>
                <w:spacing w:val="-2"/>
              </w:rPr>
              <w:t>基期值</w:t>
            </w:r>
            <w:r>
              <w:rPr>
                <w:spacing w:val="-4"/>
              </w:rPr>
              <w:t>（2020年）</w:t>
            </w:r>
          </w:p>
        </w:tc>
        <w:tc>
          <w:tcPr>
            <w:tcW w:w="1126" w:type="dxa"/>
            <w:vAlign w:val="top"/>
          </w:tcPr>
          <w:p>
            <w:pPr>
              <w:pStyle w:val="10"/>
              <w:keepNext w:val="0"/>
              <w:keepLines w:val="0"/>
              <w:pageBreakBefore w:val="0"/>
              <w:widowControl w:val="0"/>
              <w:kinsoku/>
              <w:wordWrap/>
              <w:overflowPunct w:val="0"/>
              <w:topLinePunct w:val="0"/>
              <w:bidi w:val="0"/>
              <w:spacing w:before="40" w:line="224" w:lineRule="auto"/>
              <w:ind w:left="253" w:right="170" w:hanging="72"/>
              <w:jc w:val="both"/>
            </w:pPr>
            <w:r>
              <w:rPr>
                <w:spacing w:val="-5"/>
              </w:rPr>
              <w:t>2025年</w:t>
            </w:r>
            <w:r>
              <w:rPr>
                <w:spacing w:val="-18"/>
              </w:rPr>
              <w:t>目标值</w:t>
            </w:r>
          </w:p>
        </w:tc>
        <w:tc>
          <w:tcPr>
            <w:tcW w:w="1014" w:type="dxa"/>
            <w:vAlign w:val="top"/>
          </w:tcPr>
          <w:p>
            <w:pPr>
              <w:pStyle w:val="10"/>
              <w:keepNext w:val="0"/>
              <w:keepLines w:val="0"/>
              <w:pageBreakBefore w:val="0"/>
              <w:widowControl w:val="0"/>
              <w:kinsoku/>
              <w:wordWrap/>
              <w:overflowPunct w:val="0"/>
              <w:topLinePunct w:val="0"/>
              <w:bidi w:val="0"/>
              <w:spacing w:before="196" w:line="215" w:lineRule="auto"/>
              <w:ind w:left="271"/>
              <w:jc w:val="both"/>
            </w:pPr>
            <w:r>
              <w:rPr>
                <w:spacing w:val="-4"/>
              </w:rPr>
              <w:t>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restart"/>
            <w:tcBorders>
              <w:bottom w:val="nil"/>
            </w:tcBorders>
            <w:vAlign w:val="top"/>
          </w:tcPr>
          <w:p>
            <w:pPr>
              <w:keepNext w:val="0"/>
              <w:keepLines w:val="0"/>
              <w:pageBreakBefore w:val="0"/>
              <w:widowControl w:val="0"/>
              <w:kinsoku/>
              <w:wordWrap/>
              <w:overflowPunct w:val="0"/>
              <w:topLinePunct w:val="0"/>
              <w:bidi w:val="0"/>
              <w:spacing w:line="247" w:lineRule="auto"/>
              <w:jc w:val="both"/>
              <w:rPr>
                <w:rFonts w:ascii="Arial"/>
                <w:sz w:val="21"/>
              </w:rPr>
            </w:pPr>
          </w:p>
          <w:p>
            <w:pPr>
              <w:keepNext w:val="0"/>
              <w:keepLines w:val="0"/>
              <w:pageBreakBefore w:val="0"/>
              <w:widowControl w:val="0"/>
              <w:kinsoku/>
              <w:wordWrap/>
              <w:overflowPunct w:val="0"/>
              <w:topLinePunct w:val="0"/>
              <w:bidi w:val="0"/>
              <w:spacing w:line="247" w:lineRule="auto"/>
              <w:jc w:val="both"/>
              <w:rPr>
                <w:rFonts w:ascii="Arial"/>
                <w:sz w:val="21"/>
              </w:rPr>
            </w:pPr>
          </w:p>
          <w:p>
            <w:pPr>
              <w:keepNext w:val="0"/>
              <w:keepLines w:val="0"/>
              <w:pageBreakBefore w:val="0"/>
              <w:widowControl w:val="0"/>
              <w:kinsoku/>
              <w:wordWrap/>
              <w:overflowPunct w:val="0"/>
              <w:topLinePunct w:val="0"/>
              <w:bidi w:val="0"/>
              <w:spacing w:line="248" w:lineRule="auto"/>
              <w:jc w:val="both"/>
              <w:rPr>
                <w:rFonts w:ascii="Arial"/>
                <w:sz w:val="21"/>
              </w:rPr>
            </w:pPr>
          </w:p>
          <w:p>
            <w:pPr>
              <w:keepNext w:val="0"/>
              <w:keepLines w:val="0"/>
              <w:pageBreakBefore w:val="0"/>
              <w:widowControl w:val="0"/>
              <w:kinsoku/>
              <w:wordWrap/>
              <w:overflowPunct w:val="0"/>
              <w:topLinePunct w:val="0"/>
              <w:bidi w:val="0"/>
              <w:spacing w:line="248" w:lineRule="auto"/>
              <w:jc w:val="both"/>
              <w:rPr>
                <w:rFonts w:ascii="Arial"/>
                <w:sz w:val="21"/>
              </w:rPr>
            </w:pPr>
          </w:p>
          <w:p>
            <w:pPr>
              <w:pStyle w:val="10"/>
              <w:keepNext w:val="0"/>
              <w:keepLines w:val="0"/>
              <w:pageBreakBefore w:val="0"/>
              <w:widowControl w:val="0"/>
              <w:kinsoku/>
              <w:wordWrap/>
              <w:overflowPunct w:val="0"/>
              <w:topLinePunct w:val="0"/>
              <w:bidi w:val="0"/>
              <w:spacing w:before="78" w:line="229" w:lineRule="auto"/>
              <w:ind w:left="141" w:right="17" w:hanging="8"/>
              <w:jc w:val="both"/>
            </w:pPr>
            <w:r>
              <w:rPr>
                <w:spacing w:val="-6"/>
              </w:rPr>
              <w:t>质量</w:t>
            </w:r>
            <w:r>
              <w:rPr>
                <w:spacing w:val="-10"/>
              </w:rPr>
              <w:t>兴农</w:t>
            </w:r>
          </w:p>
        </w:tc>
        <w:tc>
          <w:tcPr>
            <w:tcW w:w="457" w:type="dxa"/>
            <w:vAlign w:val="top"/>
          </w:tcPr>
          <w:p>
            <w:pPr>
              <w:pStyle w:val="10"/>
              <w:keepNext w:val="0"/>
              <w:keepLines w:val="0"/>
              <w:pageBreakBefore w:val="0"/>
              <w:widowControl w:val="0"/>
              <w:kinsoku/>
              <w:wordWrap/>
              <w:overflowPunct w:val="0"/>
              <w:topLinePunct w:val="0"/>
              <w:bidi w:val="0"/>
              <w:spacing w:before="130" w:line="180" w:lineRule="auto"/>
              <w:ind w:left="175"/>
              <w:jc w:val="both"/>
            </w:pPr>
            <w:r>
              <w:t>1</w:t>
            </w:r>
          </w:p>
        </w:tc>
        <w:tc>
          <w:tcPr>
            <w:tcW w:w="4002" w:type="dxa"/>
            <w:vAlign w:val="top"/>
          </w:tcPr>
          <w:p>
            <w:pPr>
              <w:pStyle w:val="10"/>
              <w:keepNext w:val="0"/>
              <w:keepLines w:val="0"/>
              <w:pageBreakBefore w:val="0"/>
              <w:widowControl w:val="0"/>
              <w:kinsoku/>
              <w:wordWrap/>
              <w:overflowPunct w:val="0"/>
              <w:topLinePunct w:val="0"/>
              <w:bidi w:val="0"/>
              <w:spacing w:before="89" w:line="218" w:lineRule="auto"/>
              <w:ind w:left="1461"/>
              <w:jc w:val="both"/>
            </w:pPr>
            <w:r>
              <w:rPr>
                <w:spacing w:val="-3"/>
              </w:rPr>
              <w:t>农业总产值</w:t>
            </w:r>
          </w:p>
        </w:tc>
        <w:tc>
          <w:tcPr>
            <w:tcW w:w="867" w:type="dxa"/>
            <w:vAlign w:val="top"/>
          </w:tcPr>
          <w:p>
            <w:pPr>
              <w:pStyle w:val="10"/>
              <w:keepNext w:val="0"/>
              <w:keepLines w:val="0"/>
              <w:pageBreakBefore w:val="0"/>
              <w:widowControl w:val="0"/>
              <w:kinsoku/>
              <w:wordWrap/>
              <w:overflowPunct w:val="0"/>
              <w:topLinePunct w:val="0"/>
              <w:bidi w:val="0"/>
              <w:spacing w:before="89" w:line="217" w:lineRule="auto"/>
              <w:ind w:left="206"/>
              <w:jc w:val="both"/>
            </w:pPr>
            <w:r>
              <w:rPr>
                <w:spacing w:val="-8"/>
              </w:rPr>
              <w:t>亿元</w:t>
            </w:r>
          </w:p>
        </w:tc>
        <w:tc>
          <w:tcPr>
            <w:tcW w:w="1371" w:type="dxa"/>
            <w:vAlign w:val="top"/>
          </w:tcPr>
          <w:p>
            <w:pPr>
              <w:pStyle w:val="10"/>
              <w:keepNext w:val="0"/>
              <w:keepLines w:val="0"/>
              <w:pageBreakBefore w:val="0"/>
              <w:widowControl w:val="0"/>
              <w:kinsoku/>
              <w:wordWrap/>
              <w:overflowPunct w:val="0"/>
              <w:topLinePunct w:val="0"/>
              <w:bidi w:val="0"/>
              <w:spacing w:before="128" w:line="181" w:lineRule="auto"/>
              <w:ind w:left="394"/>
              <w:jc w:val="both"/>
            </w:pPr>
            <w:r>
              <w:rPr>
                <w:spacing w:val="-2"/>
              </w:rPr>
              <w:t>93.12</w:t>
            </w:r>
          </w:p>
        </w:tc>
        <w:tc>
          <w:tcPr>
            <w:tcW w:w="1126" w:type="dxa"/>
            <w:vAlign w:val="top"/>
          </w:tcPr>
          <w:p>
            <w:pPr>
              <w:pStyle w:val="10"/>
              <w:keepNext w:val="0"/>
              <w:keepLines w:val="0"/>
              <w:pageBreakBefore w:val="0"/>
              <w:widowControl w:val="0"/>
              <w:kinsoku/>
              <w:wordWrap/>
              <w:overflowPunct w:val="0"/>
              <w:topLinePunct w:val="0"/>
              <w:bidi w:val="0"/>
              <w:spacing w:before="128" w:line="181" w:lineRule="auto"/>
              <w:ind w:left="407"/>
              <w:jc w:val="both"/>
              <w:rPr>
                <w:rFonts w:hint="default" w:eastAsia="仿宋"/>
                <w:lang w:val="en-US" w:eastAsia="zh-CN"/>
              </w:rPr>
            </w:pPr>
            <w:r>
              <w:rPr>
                <w:color w:val="auto"/>
                <w:spacing w:val="-9"/>
              </w:rPr>
              <w:t>1</w:t>
            </w:r>
            <w:r>
              <w:rPr>
                <w:rFonts w:hint="eastAsia"/>
                <w:color w:val="auto"/>
                <w:spacing w:val="-9"/>
                <w:lang w:val="en-US" w:eastAsia="zh-CN"/>
              </w:rPr>
              <w:t>05</w:t>
            </w:r>
          </w:p>
        </w:tc>
        <w:tc>
          <w:tcPr>
            <w:tcW w:w="1014" w:type="dxa"/>
            <w:vAlign w:val="top"/>
          </w:tcPr>
          <w:p>
            <w:pPr>
              <w:pStyle w:val="10"/>
              <w:keepNext w:val="0"/>
              <w:keepLines w:val="0"/>
              <w:pageBreakBefore w:val="0"/>
              <w:widowControl w:val="0"/>
              <w:kinsoku/>
              <w:wordWrap/>
              <w:overflowPunct w:val="0"/>
              <w:topLinePunct w:val="0"/>
              <w:bidi w:val="0"/>
              <w:spacing w:before="89" w:line="215" w:lineRule="auto"/>
              <w:jc w:val="center"/>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bottom w:val="nil"/>
            </w:tcBorders>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ind w:left="175"/>
              <w:jc w:val="both"/>
            </w:pPr>
            <w:r>
              <w:t>2</w:t>
            </w:r>
          </w:p>
        </w:tc>
        <w:tc>
          <w:tcPr>
            <w:tcW w:w="4002" w:type="dxa"/>
            <w:vAlign w:val="top"/>
          </w:tcPr>
          <w:p>
            <w:pPr>
              <w:pStyle w:val="10"/>
              <w:keepNext w:val="0"/>
              <w:keepLines w:val="0"/>
              <w:pageBreakBefore w:val="0"/>
              <w:widowControl w:val="0"/>
              <w:kinsoku/>
              <w:wordWrap/>
              <w:overflowPunct w:val="0"/>
              <w:topLinePunct w:val="0"/>
              <w:bidi w:val="0"/>
              <w:spacing w:before="89" w:line="215" w:lineRule="auto"/>
              <w:ind w:left="1099"/>
              <w:jc w:val="both"/>
            </w:pPr>
            <w:r>
              <w:rPr>
                <w:spacing w:val="-2"/>
              </w:rPr>
              <w:t>粮食综合生产能力</w:t>
            </w:r>
          </w:p>
        </w:tc>
        <w:tc>
          <w:tcPr>
            <w:tcW w:w="867" w:type="dxa"/>
            <w:vAlign w:val="top"/>
          </w:tcPr>
          <w:p>
            <w:pPr>
              <w:pStyle w:val="10"/>
              <w:keepNext w:val="0"/>
              <w:keepLines w:val="0"/>
              <w:pageBreakBefore w:val="0"/>
              <w:widowControl w:val="0"/>
              <w:kinsoku/>
              <w:wordWrap/>
              <w:overflowPunct w:val="0"/>
              <w:topLinePunct w:val="0"/>
              <w:bidi w:val="0"/>
              <w:spacing w:before="89" w:line="217" w:lineRule="auto"/>
              <w:ind w:left="206"/>
              <w:jc w:val="both"/>
            </w:pPr>
            <w:r>
              <w:rPr>
                <w:spacing w:val="-8"/>
              </w:rPr>
              <w:t>亿斤</w:t>
            </w:r>
          </w:p>
        </w:tc>
        <w:tc>
          <w:tcPr>
            <w:tcW w:w="1371" w:type="dxa"/>
            <w:vAlign w:val="top"/>
          </w:tcPr>
          <w:p>
            <w:pPr>
              <w:pStyle w:val="10"/>
              <w:keepNext w:val="0"/>
              <w:keepLines w:val="0"/>
              <w:pageBreakBefore w:val="0"/>
              <w:widowControl w:val="0"/>
              <w:kinsoku/>
              <w:wordWrap/>
              <w:overflowPunct w:val="0"/>
              <w:topLinePunct w:val="0"/>
              <w:bidi w:val="0"/>
              <w:spacing w:before="129" w:line="180" w:lineRule="auto"/>
              <w:ind w:left="396"/>
              <w:jc w:val="both"/>
            </w:pPr>
            <w:r>
              <w:rPr>
                <w:spacing w:val="-3"/>
              </w:rPr>
              <w:t>24.07</w:t>
            </w:r>
          </w:p>
        </w:tc>
        <w:tc>
          <w:tcPr>
            <w:tcW w:w="1126" w:type="dxa"/>
            <w:vAlign w:val="top"/>
          </w:tcPr>
          <w:p>
            <w:pPr>
              <w:pStyle w:val="10"/>
              <w:keepNext w:val="0"/>
              <w:keepLines w:val="0"/>
              <w:pageBreakBefore w:val="0"/>
              <w:widowControl w:val="0"/>
              <w:kinsoku/>
              <w:wordWrap/>
              <w:overflowPunct w:val="0"/>
              <w:topLinePunct w:val="0"/>
              <w:bidi w:val="0"/>
              <w:spacing w:before="129" w:line="180" w:lineRule="auto"/>
              <w:jc w:val="center"/>
              <w:rPr>
                <w:rFonts w:hint="default" w:eastAsia="仿宋"/>
                <w:lang w:val="en-US" w:eastAsia="zh-CN"/>
              </w:rPr>
            </w:pPr>
            <w:r>
              <w:rPr>
                <w:rFonts w:hint="eastAsia"/>
                <w:color w:val="auto"/>
                <w:spacing w:val="-6"/>
                <w:lang w:val="en-US" w:eastAsia="zh-CN"/>
              </w:rPr>
              <w:t>26.5</w:t>
            </w:r>
          </w:p>
        </w:tc>
        <w:tc>
          <w:tcPr>
            <w:tcW w:w="1014" w:type="dxa"/>
            <w:vAlign w:val="top"/>
          </w:tcPr>
          <w:p>
            <w:pPr>
              <w:pStyle w:val="10"/>
              <w:keepNext w:val="0"/>
              <w:keepLines w:val="0"/>
              <w:pageBreakBefore w:val="0"/>
              <w:widowControl w:val="0"/>
              <w:kinsoku/>
              <w:wordWrap/>
              <w:overflowPunct w:val="0"/>
              <w:topLinePunct w:val="0"/>
              <w:bidi w:val="0"/>
              <w:spacing w:before="89" w:line="215" w:lineRule="auto"/>
              <w:jc w:val="center"/>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bottom w:val="nil"/>
            </w:tcBorders>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ind w:left="175"/>
              <w:jc w:val="both"/>
            </w:pPr>
            <w:r>
              <w:t>3</w:t>
            </w:r>
          </w:p>
        </w:tc>
        <w:tc>
          <w:tcPr>
            <w:tcW w:w="4002" w:type="dxa"/>
            <w:vAlign w:val="top"/>
          </w:tcPr>
          <w:p>
            <w:pPr>
              <w:pStyle w:val="10"/>
              <w:keepNext w:val="0"/>
              <w:keepLines w:val="0"/>
              <w:pageBreakBefore w:val="0"/>
              <w:widowControl w:val="0"/>
              <w:kinsoku/>
              <w:wordWrap/>
              <w:overflowPunct w:val="0"/>
              <w:topLinePunct w:val="0"/>
              <w:bidi w:val="0"/>
              <w:spacing w:before="88" w:line="216" w:lineRule="auto"/>
              <w:ind w:left="1229"/>
              <w:jc w:val="both"/>
            </w:pPr>
            <w:r>
              <w:rPr>
                <w:spacing w:val="-3"/>
              </w:rPr>
              <w:t>黑土地保护面积</w:t>
            </w:r>
          </w:p>
        </w:tc>
        <w:tc>
          <w:tcPr>
            <w:tcW w:w="867" w:type="dxa"/>
            <w:vAlign w:val="top"/>
          </w:tcPr>
          <w:p>
            <w:pPr>
              <w:pStyle w:val="10"/>
              <w:keepNext w:val="0"/>
              <w:keepLines w:val="0"/>
              <w:pageBreakBefore w:val="0"/>
              <w:widowControl w:val="0"/>
              <w:kinsoku/>
              <w:wordWrap/>
              <w:overflowPunct w:val="0"/>
              <w:topLinePunct w:val="0"/>
              <w:bidi w:val="0"/>
              <w:spacing w:before="88" w:line="221" w:lineRule="auto"/>
              <w:ind w:left="266"/>
              <w:jc w:val="both"/>
            </w:pPr>
            <w:r>
              <w:rPr>
                <w:spacing w:val="-12"/>
              </w:rPr>
              <w:t>万亩</w:t>
            </w:r>
          </w:p>
        </w:tc>
        <w:tc>
          <w:tcPr>
            <w:tcW w:w="1371" w:type="dxa"/>
            <w:vAlign w:val="top"/>
          </w:tcPr>
          <w:p>
            <w:pPr>
              <w:pStyle w:val="10"/>
              <w:keepNext w:val="0"/>
              <w:keepLines w:val="0"/>
              <w:pageBreakBefore w:val="0"/>
              <w:widowControl w:val="0"/>
              <w:kinsoku/>
              <w:wordWrap/>
              <w:overflowPunct w:val="0"/>
              <w:topLinePunct w:val="0"/>
              <w:bidi w:val="0"/>
              <w:spacing w:before="128" w:line="181" w:lineRule="auto"/>
              <w:ind w:left="530"/>
              <w:jc w:val="both"/>
            </w:pPr>
            <w:r>
              <w:rPr>
                <w:spacing w:val="-9"/>
              </w:rPr>
              <w:t>170</w:t>
            </w:r>
          </w:p>
        </w:tc>
        <w:tc>
          <w:tcPr>
            <w:tcW w:w="1126" w:type="dxa"/>
            <w:vAlign w:val="top"/>
          </w:tcPr>
          <w:p>
            <w:pPr>
              <w:pStyle w:val="10"/>
              <w:keepNext w:val="0"/>
              <w:keepLines w:val="0"/>
              <w:pageBreakBefore w:val="0"/>
              <w:widowControl w:val="0"/>
              <w:kinsoku/>
              <w:wordWrap/>
              <w:overflowPunct w:val="0"/>
              <w:topLinePunct w:val="0"/>
              <w:bidi w:val="0"/>
              <w:spacing w:before="129" w:line="180" w:lineRule="auto"/>
              <w:ind w:left="393"/>
              <w:jc w:val="both"/>
            </w:pPr>
            <w:r>
              <w:rPr>
                <w:spacing w:val="-4"/>
              </w:rPr>
              <w:t>235</w:t>
            </w:r>
          </w:p>
        </w:tc>
        <w:tc>
          <w:tcPr>
            <w:tcW w:w="1014" w:type="dxa"/>
            <w:vAlign w:val="top"/>
          </w:tcPr>
          <w:p>
            <w:pPr>
              <w:pStyle w:val="10"/>
              <w:keepNext w:val="0"/>
              <w:keepLines w:val="0"/>
              <w:pageBreakBefore w:val="0"/>
              <w:widowControl w:val="0"/>
              <w:kinsoku/>
              <w:wordWrap/>
              <w:overflowPunct w:val="0"/>
              <w:topLinePunct w:val="0"/>
              <w:bidi w:val="0"/>
              <w:spacing w:before="88" w:line="215" w:lineRule="auto"/>
              <w:jc w:val="center"/>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bottom w:val="nil"/>
            </w:tcBorders>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ind w:left="175"/>
              <w:jc w:val="both"/>
            </w:pPr>
            <w:r>
              <w:t>4</w:t>
            </w:r>
          </w:p>
        </w:tc>
        <w:tc>
          <w:tcPr>
            <w:tcW w:w="4002" w:type="dxa"/>
            <w:vAlign w:val="top"/>
          </w:tcPr>
          <w:p>
            <w:pPr>
              <w:pStyle w:val="10"/>
              <w:keepNext w:val="0"/>
              <w:keepLines w:val="0"/>
              <w:pageBreakBefore w:val="0"/>
              <w:widowControl w:val="0"/>
              <w:kinsoku/>
              <w:wordWrap/>
              <w:overflowPunct w:val="0"/>
              <w:topLinePunct w:val="0"/>
              <w:bidi w:val="0"/>
              <w:spacing w:before="88" w:line="215" w:lineRule="auto"/>
              <w:ind w:left="138"/>
              <w:jc w:val="both"/>
            </w:pPr>
            <w:r>
              <w:rPr>
                <w:spacing w:val="-1"/>
              </w:rPr>
              <w:t>全市主要农作物耕种收综合机械化率</w:t>
            </w:r>
          </w:p>
        </w:tc>
        <w:tc>
          <w:tcPr>
            <w:tcW w:w="867" w:type="dxa"/>
            <w:vAlign w:val="top"/>
          </w:tcPr>
          <w:p>
            <w:pPr>
              <w:pStyle w:val="10"/>
              <w:keepNext w:val="0"/>
              <w:keepLines w:val="0"/>
              <w:pageBreakBefore w:val="0"/>
              <w:widowControl w:val="0"/>
              <w:kinsoku/>
              <w:wordWrap/>
              <w:overflowPunct w:val="0"/>
              <w:topLinePunct w:val="0"/>
              <w:bidi w:val="0"/>
              <w:spacing w:before="87" w:line="241" w:lineRule="auto"/>
              <w:ind w:left="425"/>
              <w:jc w:val="both"/>
            </w:pPr>
            <w:r>
              <w:t>%</w:t>
            </w:r>
          </w:p>
        </w:tc>
        <w:tc>
          <w:tcPr>
            <w:tcW w:w="1371" w:type="dxa"/>
            <w:vAlign w:val="top"/>
          </w:tcPr>
          <w:p>
            <w:pPr>
              <w:pStyle w:val="10"/>
              <w:keepNext w:val="0"/>
              <w:keepLines w:val="0"/>
              <w:pageBreakBefore w:val="0"/>
              <w:widowControl w:val="0"/>
              <w:kinsoku/>
              <w:wordWrap/>
              <w:overflowPunct w:val="0"/>
              <w:topLinePunct w:val="0"/>
              <w:bidi w:val="0"/>
              <w:spacing w:before="129" w:line="180" w:lineRule="auto"/>
              <w:ind w:left="454"/>
              <w:jc w:val="both"/>
            </w:pPr>
            <w:r>
              <w:rPr>
                <w:spacing w:val="-3"/>
              </w:rPr>
              <w:t>94.5</w:t>
            </w:r>
          </w:p>
        </w:tc>
        <w:tc>
          <w:tcPr>
            <w:tcW w:w="1126" w:type="dxa"/>
            <w:vAlign w:val="top"/>
          </w:tcPr>
          <w:p>
            <w:pPr>
              <w:pStyle w:val="10"/>
              <w:keepNext w:val="0"/>
              <w:keepLines w:val="0"/>
              <w:pageBreakBefore w:val="0"/>
              <w:widowControl w:val="0"/>
              <w:kinsoku/>
              <w:wordWrap/>
              <w:overflowPunct w:val="0"/>
              <w:topLinePunct w:val="0"/>
              <w:bidi w:val="0"/>
              <w:spacing w:before="129" w:line="180" w:lineRule="auto"/>
              <w:ind w:left="331"/>
              <w:jc w:val="both"/>
            </w:pPr>
            <w:r>
              <w:rPr>
                <w:spacing w:val="-3"/>
              </w:rPr>
              <w:t>96.5</w:t>
            </w:r>
          </w:p>
        </w:tc>
        <w:tc>
          <w:tcPr>
            <w:tcW w:w="1014" w:type="dxa"/>
            <w:vAlign w:val="top"/>
          </w:tcPr>
          <w:p>
            <w:pPr>
              <w:pStyle w:val="10"/>
              <w:keepNext w:val="0"/>
              <w:keepLines w:val="0"/>
              <w:pageBreakBefore w:val="0"/>
              <w:widowControl w:val="0"/>
              <w:kinsoku/>
              <w:wordWrap/>
              <w:overflowPunct w:val="0"/>
              <w:topLinePunct w:val="0"/>
              <w:bidi w:val="0"/>
              <w:spacing w:before="88"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bottom w:val="nil"/>
            </w:tcBorders>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ind w:left="175"/>
              <w:jc w:val="both"/>
            </w:pPr>
            <w:r>
              <w:t>5</w:t>
            </w:r>
          </w:p>
        </w:tc>
        <w:tc>
          <w:tcPr>
            <w:tcW w:w="4002" w:type="dxa"/>
            <w:vAlign w:val="top"/>
          </w:tcPr>
          <w:p>
            <w:pPr>
              <w:pStyle w:val="10"/>
              <w:keepNext w:val="0"/>
              <w:keepLines w:val="0"/>
              <w:pageBreakBefore w:val="0"/>
              <w:widowControl w:val="0"/>
              <w:kinsoku/>
              <w:wordWrap/>
              <w:overflowPunct w:val="0"/>
              <w:topLinePunct w:val="0"/>
              <w:bidi w:val="0"/>
              <w:spacing w:before="88" w:line="217" w:lineRule="auto"/>
              <w:ind w:left="1221"/>
              <w:jc w:val="both"/>
            </w:pPr>
            <w:r>
              <w:rPr>
                <w:spacing w:val="-2"/>
              </w:rPr>
              <w:t>农业科技贡献率</w:t>
            </w:r>
          </w:p>
        </w:tc>
        <w:tc>
          <w:tcPr>
            <w:tcW w:w="867" w:type="dxa"/>
            <w:vAlign w:val="top"/>
          </w:tcPr>
          <w:p>
            <w:pPr>
              <w:pStyle w:val="10"/>
              <w:keepNext w:val="0"/>
              <w:keepLines w:val="0"/>
              <w:pageBreakBefore w:val="0"/>
              <w:widowControl w:val="0"/>
              <w:kinsoku/>
              <w:wordWrap/>
              <w:overflowPunct w:val="0"/>
              <w:topLinePunct w:val="0"/>
              <w:bidi w:val="0"/>
              <w:spacing w:before="87" w:line="241" w:lineRule="auto"/>
              <w:ind w:left="425"/>
              <w:jc w:val="both"/>
            </w:pPr>
            <w:r>
              <w:t>%</w:t>
            </w:r>
          </w:p>
        </w:tc>
        <w:tc>
          <w:tcPr>
            <w:tcW w:w="1371" w:type="dxa"/>
            <w:vAlign w:val="top"/>
          </w:tcPr>
          <w:p>
            <w:pPr>
              <w:pStyle w:val="10"/>
              <w:keepNext w:val="0"/>
              <w:keepLines w:val="0"/>
              <w:pageBreakBefore w:val="0"/>
              <w:widowControl w:val="0"/>
              <w:kinsoku/>
              <w:wordWrap/>
              <w:overflowPunct w:val="0"/>
              <w:topLinePunct w:val="0"/>
              <w:bidi w:val="0"/>
              <w:spacing w:before="128" w:line="181" w:lineRule="auto"/>
              <w:ind w:left="455"/>
              <w:jc w:val="both"/>
            </w:pPr>
            <w:r>
              <w:rPr>
                <w:spacing w:val="-3"/>
              </w:rPr>
              <w:t>61.6</w:t>
            </w:r>
          </w:p>
        </w:tc>
        <w:tc>
          <w:tcPr>
            <w:tcW w:w="1126" w:type="dxa"/>
            <w:vAlign w:val="top"/>
          </w:tcPr>
          <w:p>
            <w:pPr>
              <w:pStyle w:val="10"/>
              <w:keepNext w:val="0"/>
              <w:keepLines w:val="0"/>
              <w:pageBreakBefore w:val="0"/>
              <w:widowControl w:val="0"/>
              <w:kinsoku/>
              <w:wordWrap/>
              <w:overflowPunct w:val="0"/>
              <w:topLinePunct w:val="0"/>
              <w:bidi w:val="0"/>
              <w:spacing w:before="129" w:line="180" w:lineRule="auto"/>
              <w:ind w:left="452"/>
              <w:jc w:val="both"/>
            </w:pPr>
            <w:r>
              <w:rPr>
                <w:spacing w:val="-6"/>
              </w:rPr>
              <w:t>65</w:t>
            </w:r>
          </w:p>
        </w:tc>
        <w:tc>
          <w:tcPr>
            <w:tcW w:w="1014" w:type="dxa"/>
            <w:vAlign w:val="top"/>
          </w:tcPr>
          <w:p>
            <w:pPr>
              <w:pStyle w:val="10"/>
              <w:keepNext w:val="0"/>
              <w:keepLines w:val="0"/>
              <w:pageBreakBefore w:val="0"/>
              <w:widowControl w:val="0"/>
              <w:kinsoku/>
              <w:wordWrap/>
              <w:overflowPunct w:val="0"/>
              <w:topLinePunct w:val="0"/>
              <w:bidi w:val="0"/>
              <w:spacing w:before="88"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tcBorders>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ind w:left="175"/>
              <w:jc w:val="both"/>
            </w:pPr>
            <w:r>
              <w:t>6</w:t>
            </w:r>
          </w:p>
        </w:tc>
        <w:tc>
          <w:tcPr>
            <w:tcW w:w="4002" w:type="dxa"/>
            <w:vAlign w:val="top"/>
          </w:tcPr>
          <w:p>
            <w:pPr>
              <w:pStyle w:val="10"/>
              <w:keepNext w:val="0"/>
              <w:keepLines w:val="0"/>
              <w:pageBreakBefore w:val="0"/>
              <w:widowControl w:val="0"/>
              <w:kinsoku/>
              <w:wordWrap/>
              <w:overflowPunct w:val="0"/>
              <w:topLinePunct w:val="0"/>
              <w:bidi w:val="0"/>
              <w:spacing w:before="88" w:line="216" w:lineRule="auto"/>
              <w:ind w:left="141"/>
              <w:jc w:val="both"/>
            </w:pPr>
            <w:r>
              <w:rPr>
                <w:spacing w:val="-1"/>
              </w:rPr>
              <w:t>农产品质量安全例行监测总体合格率</w:t>
            </w:r>
          </w:p>
        </w:tc>
        <w:tc>
          <w:tcPr>
            <w:tcW w:w="867" w:type="dxa"/>
            <w:vAlign w:val="top"/>
          </w:tcPr>
          <w:p>
            <w:pPr>
              <w:pStyle w:val="10"/>
              <w:keepNext w:val="0"/>
              <w:keepLines w:val="0"/>
              <w:pageBreakBefore w:val="0"/>
              <w:widowControl w:val="0"/>
              <w:kinsoku/>
              <w:wordWrap/>
              <w:overflowPunct w:val="0"/>
              <w:topLinePunct w:val="0"/>
              <w:bidi w:val="0"/>
              <w:spacing w:before="87" w:line="241" w:lineRule="auto"/>
              <w:ind w:left="425"/>
              <w:jc w:val="both"/>
            </w:pPr>
            <w:r>
              <w:t>%</w:t>
            </w:r>
          </w:p>
        </w:tc>
        <w:tc>
          <w:tcPr>
            <w:tcW w:w="1371" w:type="dxa"/>
            <w:vAlign w:val="top"/>
          </w:tcPr>
          <w:p>
            <w:pPr>
              <w:pStyle w:val="10"/>
              <w:keepNext w:val="0"/>
              <w:keepLines w:val="0"/>
              <w:pageBreakBefore w:val="0"/>
              <w:widowControl w:val="0"/>
              <w:kinsoku/>
              <w:wordWrap/>
              <w:overflowPunct w:val="0"/>
              <w:topLinePunct w:val="0"/>
              <w:bidi w:val="0"/>
              <w:spacing w:before="129" w:line="180" w:lineRule="auto"/>
              <w:ind w:left="574"/>
              <w:jc w:val="both"/>
            </w:pPr>
            <w:r>
              <w:rPr>
                <w:spacing w:val="-5"/>
              </w:rPr>
              <w:t>97</w:t>
            </w:r>
          </w:p>
        </w:tc>
        <w:tc>
          <w:tcPr>
            <w:tcW w:w="1126" w:type="dxa"/>
            <w:vAlign w:val="top"/>
          </w:tcPr>
          <w:p>
            <w:pPr>
              <w:pStyle w:val="10"/>
              <w:keepNext w:val="0"/>
              <w:keepLines w:val="0"/>
              <w:pageBreakBefore w:val="0"/>
              <w:widowControl w:val="0"/>
              <w:kinsoku/>
              <w:wordWrap/>
              <w:overflowPunct w:val="0"/>
              <w:topLinePunct w:val="0"/>
              <w:bidi w:val="0"/>
              <w:spacing w:before="88" w:line="236" w:lineRule="auto"/>
              <w:ind w:left="382"/>
              <w:jc w:val="both"/>
            </w:pPr>
            <w:r>
              <w:rPr>
                <w:spacing w:val="-21"/>
              </w:rPr>
              <w:t>≥98</w:t>
            </w:r>
          </w:p>
        </w:tc>
        <w:tc>
          <w:tcPr>
            <w:tcW w:w="1014" w:type="dxa"/>
            <w:vAlign w:val="top"/>
          </w:tcPr>
          <w:p>
            <w:pPr>
              <w:pStyle w:val="10"/>
              <w:keepNext w:val="0"/>
              <w:keepLines w:val="0"/>
              <w:pageBreakBefore w:val="0"/>
              <w:widowControl w:val="0"/>
              <w:kinsoku/>
              <w:wordWrap/>
              <w:overflowPunct w:val="0"/>
              <w:topLinePunct w:val="0"/>
              <w:bidi w:val="0"/>
              <w:spacing w:before="88" w:line="215" w:lineRule="auto"/>
              <w:ind w:left="166"/>
              <w:jc w:val="both"/>
            </w:pPr>
            <w:r>
              <w:rPr>
                <w:spacing w:val="-8"/>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restart"/>
            <w:tcBorders>
              <w:bottom w:val="nil"/>
            </w:tcBorders>
            <w:textDirection w:val="tbRlV"/>
            <w:vAlign w:val="top"/>
          </w:tcPr>
          <w:p>
            <w:pPr>
              <w:pStyle w:val="10"/>
              <w:keepNext w:val="0"/>
              <w:keepLines w:val="0"/>
              <w:pageBreakBefore w:val="0"/>
              <w:widowControl w:val="0"/>
              <w:kinsoku/>
              <w:wordWrap/>
              <w:overflowPunct w:val="0"/>
              <w:topLinePunct w:val="0"/>
              <w:bidi w:val="0"/>
              <w:spacing w:before="191" w:line="206" w:lineRule="auto"/>
              <w:ind w:left="44"/>
              <w:jc w:val="both"/>
            </w:pPr>
            <w:r>
              <w:rPr>
                <w:spacing w:val="53"/>
              </w:rPr>
              <w:t>高质高效</w:t>
            </w:r>
          </w:p>
        </w:tc>
        <w:tc>
          <w:tcPr>
            <w:tcW w:w="457" w:type="dxa"/>
            <w:vAlign w:val="top"/>
          </w:tcPr>
          <w:p>
            <w:pPr>
              <w:pStyle w:val="10"/>
              <w:keepNext w:val="0"/>
              <w:keepLines w:val="0"/>
              <w:pageBreakBefore w:val="0"/>
              <w:widowControl w:val="0"/>
              <w:kinsoku/>
              <w:wordWrap/>
              <w:overflowPunct w:val="0"/>
              <w:topLinePunct w:val="0"/>
              <w:bidi w:val="0"/>
              <w:spacing w:before="130" w:line="180" w:lineRule="auto"/>
              <w:ind w:left="175"/>
              <w:jc w:val="both"/>
            </w:pPr>
            <w:r>
              <w:t>7</w:t>
            </w:r>
          </w:p>
        </w:tc>
        <w:tc>
          <w:tcPr>
            <w:tcW w:w="4002" w:type="dxa"/>
            <w:vAlign w:val="top"/>
          </w:tcPr>
          <w:p>
            <w:pPr>
              <w:pStyle w:val="10"/>
              <w:keepNext w:val="0"/>
              <w:keepLines w:val="0"/>
              <w:pageBreakBefore w:val="0"/>
              <w:widowControl w:val="0"/>
              <w:kinsoku/>
              <w:wordWrap/>
              <w:overflowPunct w:val="0"/>
              <w:topLinePunct w:val="0"/>
              <w:bidi w:val="0"/>
              <w:spacing w:before="87" w:line="219" w:lineRule="auto"/>
              <w:ind w:left="1367"/>
              <w:jc w:val="both"/>
            </w:pPr>
            <w:r>
              <w:rPr>
                <w:spacing w:val="-7"/>
              </w:rPr>
              <w:t>肉蛋奶总产量</w:t>
            </w:r>
          </w:p>
        </w:tc>
        <w:tc>
          <w:tcPr>
            <w:tcW w:w="867" w:type="dxa"/>
            <w:vAlign w:val="top"/>
          </w:tcPr>
          <w:p>
            <w:pPr>
              <w:pStyle w:val="10"/>
              <w:keepNext w:val="0"/>
              <w:keepLines w:val="0"/>
              <w:pageBreakBefore w:val="0"/>
              <w:widowControl w:val="0"/>
              <w:kinsoku/>
              <w:wordWrap/>
              <w:overflowPunct w:val="0"/>
              <w:topLinePunct w:val="0"/>
              <w:bidi w:val="0"/>
              <w:spacing w:before="87" w:line="221" w:lineRule="auto"/>
              <w:ind w:left="266"/>
              <w:jc w:val="both"/>
            </w:pPr>
            <w:r>
              <w:rPr>
                <w:spacing w:val="-12"/>
              </w:rPr>
              <w:t>万吨</w:t>
            </w:r>
          </w:p>
        </w:tc>
        <w:tc>
          <w:tcPr>
            <w:tcW w:w="1371" w:type="dxa"/>
            <w:vAlign w:val="top"/>
          </w:tcPr>
          <w:p>
            <w:pPr>
              <w:pStyle w:val="10"/>
              <w:keepNext w:val="0"/>
              <w:keepLines w:val="0"/>
              <w:pageBreakBefore w:val="0"/>
              <w:widowControl w:val="0"/>
              <w:kinsoku/>
              <w:wordWrap/>
              <w:overflowPunct w:val="0"/>
              <w:topLinePunct w:val="0"/>
              <w:bidi w:val="0"/>
              <w:spacing w:before="127" w:line="181" w:lineRule="auto"/>
              <w:ind w:left="410"/>
              <w:jc w:val="both"/>
            </w:pPr>
            <w:r>
              <w:rPr>
                <w:spacing w:val="-6"/>
              </w:rPr>
              <w:t>12.67</w:t>
            </w:r>
          </w:p>
        </w:tc>
        <w:tc>
          <w:tcPr>
            <w:tcW w:w="1126" w:type="dxa"/>
            <w:vAlign w:val="top"/>
          </w:tcPr>
          <w:p>
            <w:pPr>
              <w:pStyle w:val="10"/>
              <w:keepNext w:val="0"/>
              <w:keepLines w:val="0"/>
              <w:pageBreakBefore w:val="0"/>
              <w:widowControl w:val="0"/>
              <w:kinsoku/>
              <w:wordWrap/>
              <w:overflowPunct w:val="0"/>
              <w:topLinePunct w:val="0"/>
              <w:bidi w:val="0"/>
              <w:spacing w:before="127" w:line="181" w:lineRule="auto"/>
              <w:ind w:left="347"/>
              <w:jc w:val="both"/>
            </w:pPr>
            <w:r>
              <w:rPr>
                <w:spacing w:val="-7"/>
              </w:rPr>
              <w:t>13.6</w:t>
            </w:r>
          </w:p>
        </w:tc>
        <w:tc>
          <w:tcPr>
            <w:tcW w:w="1014" w:type="dxa"/>
            <w:vAlign w:val="top"/>
          </w:tcPr>
          <w:p>
            <w:pPr>
              <w:pStyle w:val="10"/>
              <w:keepNext w:val="0"/>
              <w:keepLines w:val="0"/>
              <w:pageBreakBefore w:val="0"/>
              <w:widowControl w:val="0"/>
              <w:kinsoku/>
              <w:wordWrap/>
              <w:overflowPunct w:val="0"/>
              <w:topLinePunct w:val="0"/>
              <w:bidi w:val="0"/>
              <w:spacing w:before="88"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ind w:left="175"/>
              <w:jc w:val="both"/>
            </w:pPr>
            <w:r>
              <w:t>8</w:t>
            </w:r>
          </w:p>
        </w:tc>
        <w:tc>
          <w:tcPr>
            <w:tcW w:w="4002" w:type="dxa"/>
            <w:vAlign w:val="top"/>
          </w:tcPr>
          <w:p>
            <w:pPr>
              <w:pStyle w:val="10"/>
              <w:keepNext w:val="0"/>
              <w:keepLines w:val="0"/>
              <w:pageBreakBefore w:val="0"/>
              <w:widowControl w:val="0"/>
              <w:kinsoku/>
              <w:wordWrap/>
              <w:overflowPunct w:val="0"/>
              <w:topLinePunct w:val="0"/>
              <w:bidi w:val="0"/>
              <w:spacing w:before="87" w:line="215" w:lineRule="auto"/>
              <w:ind w:left="1216"/>
              <w:jc w:val="both"/>
            </w:pPr>
            <w:r>
              <w:rPr>
                <w:spacing w:val="-1"/>
              </w:rPr>
              <w:t>保护性耕作面积</w:t>
            </w:r>
          </w:p>
        </w:tc>
        <w:tc>
          <w:tcPr>
            <w:tcW w:w="867" w:type="dxa"/>
            <w:vAlign w:val="top"/>
          </w:tcPr>
          <w:p>
            <w:pPr>
              <w:pStyle w:val="10"/>
              <w:keepNext w:val="0"/>
              <w:keepLines w:val="0"/>
              <w:pageBreakBefore w:val="0"/>
              <w:widowControl w:val="0"/>
              <w:kinsoku/>
              <w:wordWrap/>
              <w:overflowPunct w:val="0"/>
              <w:topLinePunct w:val="0"/>
              <w:bidi w:val="0"/>
              <w:spacing w:before="87" w:line="221" w:lineRule="auto"/>
              <w:ind w:left="266"/>
              <w:jc w:val="both"/>
            </w:pPr>
            <w:r>
              <w:rPr>
                <w:spacing w:val="-12"/>
              </w:rPr>
              <w:t>万亩</w:t>
            </w:r>
          </w:p>
        </w:tc>
        <w:tc>
          <w:tcPr>
            <w:tcW w:w="1371" w:type="dxa"/>
            <w:vAlign w:val="top"/>
          </w:tcPr>
          <w:p>
            <w:pPr>
              <w:pStyle w:val="10"/>
              <w:keepNext w:val="0"/>
              <w:keepLines w:val="0"/>
              <w:pageBreakBefore w:val="0"/>
              <w:widowControl w:val="0"/>
              <w:kinsoku/>
              <w:wordWrap/>
              <w:overflowPunct w:val="0"/>
              <w:topLinePunct w:val="0"/>
              <w:bidi w:val="0"/>
              <w:spacing w:before="127" w:line="181" w:lineRule="auto"/>
              <w:ind w:left="530"/>
              <w:jc w:val="both"/>
            </w:pPr>
            <w:r>
              <w:rPr>
                <w:spacing w:val="-9"/>
              </w:rPr>
              <w:t>167</w:t>
            </w:r>
          </w:p>
        </w:tc>
        <w:tc>
          <w:tcPr>
            <w:tcW w:w="1126" w:type="dxa"/>
            <w:vAlign w:val="top"/>
          </w:tcPr>
          <w:p>
            <w:pPr>
              <w:pStyle w:val="10"/>
              <w:keepNext w:val="0"/>
              <w:keepLines w:val="0"/>
              <w:pageBreakBefore w:val="0"/>
              <w:widowControl w:val="0"/>
              <w:kinsoku/>
              <w:wordWrap/>
              <w:overflowPunct w:val="0"/>
              <w:topLinePunct w:val="0"/>
              <w:bidi w:val="0"/>
              <w:spacing w:before="127" w:line="181" w:lineRule="auto"/>
              <w:ind w:left="393"/>
              <w:jc w:val="both"/>
            </w:pPr>
            <w:r>
              <w:rPr>
                <w:spacing w:val="-4"/>
              </w:rPr>
              <w:t>215</w:t>
            </w:r>
          </w:p>
        </w:tc>
        <w:tc>
          <w:tcPr>
            <w:tcW w:w="1014" w:type="dxa"/>
            <w:vAlign w:val="top"/>
          </w:tcPr>
          <w:p>
            <w:pPr>
              <w:pStyle w:val="10"/>
              <w:keepNext w:val="0"/>
              <w:keepLines w:val="0"/>
              <w:pageBreakBefore w:val="0"/>
              <w:widowControl w:val="0"/>
              <w:kinsoku/>
              <w:wordWrap/>
              <w:overflowPunct w:val="0"/>
              <w:topLinePunct w:val="0"/>
              <w:bidi w:val="0"/>
              <w:spacing w:before="87" w:line="215" w:lineRule="auto"/>
              <w:ind w:left="166"/>
              <w:jc w:val="both"/>
            </w:pPr>
            <w:r>
              <w:rPr>
                <w:spacing w:val="-8"/>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ind w:left="175"/>
              <w:jc w:val="both"/>
            </w:pPr>
            <w:r>
              <w:t>9</w:t>
            </w:r>
          </w:p>
        </w:tc>
        <w:tc>
          <w:tcPr>
            <w:tcW w:w="4002" w:type="dxa"/>
            <w:vAlign w:val="top"/>
          </w:tcPr>
          <w:p>
            <w:pPr>
              <w:pStyle w:val="10"/>
              <w:keepNext w:val="0"/>
              <w:keepLines w:val="0"/>
              <w:pageBreakBefore w:val="0"/>
              <w:widowControl w:val="0"/>
              <w:kinsoku/>
              <w:wordWrap/>
              <w:overflowPunct w:val="0"/>
              <w:topLinePunct w:val="0"/>
              <w:bidi w:val="0"/>
              <w:spacing w:before="88" w:line="217" w:lineRule="auto"/>
              <w:ind w:left="1229"/>
              <w:jc w:val="both"/>
            </w:pPr>
            <w:r>
              <w:rPr>
                <w:spacing w:val="-3"/>
              </w:rPr>
              <w:t>高标准农田面积</w:t>
            </w:r>
          </w:p>
        </w:tc>
        <w:tc>
          <w:tcPr>
            <w:tcW w:w="867" w:type="dxa"/>
            <w:vAlign w:val="top"/>
          </w:tcPr>
          <w:p>
            <w:pPr>
              <w:pStyle w:val="10"/>
              <w:keepNext w:val="0"/>
              <w:keepLines w:val="0"/>
              <w:pageBreakBefore w:val="0"/>
              <w:widowControl w:val="0"/>
              <w:kinsoku/>
              <w:wordWrap/>
              <w:overflowPunct w:val="0"/>
              <w:topLinePunct w:val="0"/>
              <w:bidi w:val="0"/>
              <w:spacing w:before="87" w:line="221" w:lineRule="auto"/>
              <w:ind w:left="266"/>
              <w:jc w:val="both"/>
            </w:pPr>
            <w:r>
              <w:rPr>
                <w:spacing w:val="-12"/>
              </w:rPr>
              <w:t>万亩</w:t>
            </w:r>
          </w:p>
        </w:tc>
        <w:tc>
          <w:tcPr>
            <w:tcW w:w="1371" w:type="dxa"/>
            <w:vAlign w:val="top"/>
          </w:tcPr>
          <w:p>
            <w:pPr>
              <w:pStyle w:val="10"/>
              <w:keepNext w:val="0"/>
              <w:keepLines w:val="0"/>
              <w:pageBreakBefore w:val="0"/>
              <w:widowControl w:val="0"/>
              <w:kinsoku/>
              <w:wordWrap/>
              <w:overflowPunct w:val="0"/>
              <w:topLinePunct w:val="0"/>
              <w:bidi w:val="0"/>
              <w:spacing w:before="127" w:line="181" w:lineRule="auto"/>
              <w:ind w:left="350"/>
              <w:jc w:val="both"/>
            </w:pPr>
            <w:r>
              <w:rPr>
                <w:spacing w:val="-5"/>
              </w:rPr>
              <w:t>120.33</w:t>
            </w:r>
          </w:p>
        </w:tc>
        <w:tc>
          <w:tcPr>
            <w:tcW w:w="1126" w:type="dxa"/>
            <w:vAlign w:val="top"/>
          </w:tcPr>
          <w:p>
            <w:pPr>
              <w:pStyle w:val="10"/>
              <w:keepNext w:val="0"/>
              <w:keepLines w:val="0"/>
              <w:pageBreakBefore w:val="0"/>
              <w:widowControl w:val="0"/>
              <w:kinsoku/>
              <w:wordWrap/>
              <w:overflowPunct w:val="0"/>
              <w:topLinePunct w:val="0"/>
              <w:bidi w:val="0"/>
              <w:spacing w:before="127" w:line="181" w:lineRule="auto"/>
              <w:ind w:left="407"/>
              <w:jc w:val="both"/>
            </w:pPr>
            <w:r>
              <w:rPr>
                <w:spacing w:val="-9"/>
              </w:rPr>
              <w:t>180</w:t>
            </w:r>
          </w:p>
        </w:tc>
        <w:tc>
          <w:tcPr>
            <w:tcW w:w="1014" w:type="dxa"/>
            <w:vAlign w:val="top"/>
          </w:tcPr>
          <w:p>
            <w:pPr>
              <w:pStyle w:val="10"/>
              <w:keepNext w:val="0"/>
              <w:keepLines w:val="0"/>
              <w:pageBreakBefore w:val="0"/>
              <w:widowControl w:val="0"/>
              <w:kinsoku/>
              <w:wordWrap/>
              <w:overflowPunct w:val="0"/>
              <w:topLinePunct w:val="0"/>
              <w:bidi w:val="0"/>
              <w:spacing w:before="87" w:line="215" w:lineRule="auto"/>
              <w:ind w:left="166"/>
              <w:jc w:val="both"/>
            </w:pPr>
            <w:r>
              <w:rPr>
                <w:spacing w:val="-8"/>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26" w:type="dxa"/>
            <w:vMerge w:val="restart"/>
            <w:tcBorders>
              <w:bottom w:val="nil"/>
            </w:tcBorders>
            <w:vAlign w:val="top"/>
          </w:tcPr>
          <w:p>
            <w:pPr>
              <w:pStyle w:val="10"/>
              <w:keepNext w:val="0"/>
              <w:keepLines w:val="0"/>
              <w:pageBreakBefore w:val="0"/>
              <w:widowControl w:val="0"/>
              <w:kinsoku/>
              <w:wordWrap/>
              <w:overflowPunct w:val="0"/>
              <w:topLinePunct w:val="0"/>
              <w:bidi w:val="0"/>
              <w:spacing w:before="192" w:line="229" w:lineRule="auto"/>
              <w:ind w:left="132" w:right="17" w:firstLine="7"/>
              <w:jc w:val="both"/>
            </w:pPr>
            <w:r>
              <w:rPr>
                <w:spacing w:val="-9"/>
              </w:rPr>
              <w:t>结构</w:t>
            </w:r>
            <w:r>
              <w:rPr>
                <w:spacing w:val="-5"/>
              </w:rPr>
              <w:t>优化</w:t>
            </w: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10</w:t>
            </w:r>
          </w:p>
        </w:tc>
        <w:tc>
          <w:tcPr>
            <w:tcW w:w="4002" w:type="dxa"/>
            <w:vAlign w:val="top"/>
          </w:tcPr>
          <w:p>
            <w:pPr>
              <w:pStyle w:val="10"/>
              <w:keepNext w:val="0"/>
              <w:keepLines w:val="0"/>
              <w:pageBreakBefore w:val="0"/>
              <w:widowControl w:val="0"/>
              <w:kinsoku/>
              <w:wordWrap/>
              <w:overflowPunct w:val="0"/>
              <w:topLinePunct w:val="0"/>
              <w:bidi w:val="0"/>
              <w:spacing w:before="87" w:line="218" w:lineRule="auto"/>
              <w:ind w:left="1101"/>
              <w:jc w:val="both"/>
            </w:pPr>
            <w:r>
              <w:rPr>
                <w:spacing w:val="-2"/>
              </w:rPr>
              <w:t>农产品加工业产值</w:t>
            </w:r>
          </w:p>
        </w:tc>
        <w:tc>
          <w:tcPr>
            <w:tcW w:w="867" w:type="dxa"/>
            <w:vAlign w:val="top"/>
          </w:tcPr>
          <w:p>
            <w:pPr>
              <w:pStyle w:val="10"/>
              <w:keepNext w:val="0"/>
              <w:keepLines w:val="0"/>
              <w:pageBreakBefore w:val="0"/>
              <w:widowControl w:val="0"/>
              <w:kinsoku/>
              <w:wordWrap/>
              <w:overflowPunct w:val="0"/>
              <w:topLinePunct w:val="0"/>
              <w:bidi w:val="0"/>
              <w:spacing w:before="87" w:line="217" w:lineRule="auto"/>
              <w:ind w:left="259"/>
              <w:jc w:val="both"/>
            </w:pPr>
            <w:r>
              <w:rPr>
                <w:spacing w:val="-8"/>
              </w:rPr>
              <w:t>亿元</w:t>
            </w:r>
          </w:p>
        </w:tc>
        <w:tc>
          <w:tcPr>
            <w:tcW w:w="1371" w:type="dxa"/>
            <w:vAlign w:val="top"/>
          </w:tcPr>
          <w:p>
            <w:pPr>
              <w:pStyle w:val="10"/>
              <w:keepNext w:val="0"/>
              <w:keepLines w:val="0"/>
              <w:pageBreakBefore w:val="0"/>
              <w:widowControl w:val="0"/>
              <w:kinsoku/>
              <w:wordWrap/>
              <w:overflowPunct w:val="0"/>
              <w:topLinePunct w:val="0"/>
              <w:bidi w:val="0"/>
              <w:spacing w:before="128" w:line="180" w:lineRule="auto"/>
              <w:ind w:left="515"/>
              <w:jc w:val="both"/>
            </w:pPr>
            <w:r>
              <w:rPr>
                <w:spacing w:val="-4"/>
              </w:rPr>
              <w:t>6.9</w:t>
            </w:r>
          </w:p>
        </w:tc>
        <w:tc>
          <w:tcPr>
            <w:tcW w:w="1126" w:type="dxa"/>
            <w:vAlign w:val="top"/>
          </w:tcPr>
          <w:p>
            <w:pPr>
              <w:pStyle w:val="10"/>
              <w:keepNext w:val="0"/>
              <w:keepLines w:val="0"/>
              <w:pageBreakBefore w:val="0"/>
              <w:widowControl w:val="0"/>
              <w:kinsoku/>
              <w:wordWrap/>
              <w:overflowPunct w:val="0"/>
              <w:topLinePunct w:val="0"/>
              <w:bidi w:val="0"/>
              <w:spacing w:before="127" w:line="181" w:lineRule="auto"/>
              <w:ind w:left="467"/>
              <w:jc w:val="both"/>
            </w:pPr>
            <w:r>
              <w:rPr>
                <w:spacing w:val="-14"/>
              </w:rPr>
              <w:t>10</w:t>
            </w:r>
          </w:p>
        </w:tc>
        <w:tc>
          <w:tcPr>
            <w:tcW w:w="1014" w:type="dxa"/>
            <w:vAlign w:val="top"/>
          </w:tcPr>
          <w:p>
            <w:pPr>
              <w:pStyle w:val="10"/>
              <w:keepNext w:val="0"/>
              <w:keepLines w:val="0"/>
              <w:pageBreakBefore w:val="0"/>
              <w:widowControl w:val="0"/>
              <w:kinsoku/>
              <w:wordWrap/>
              <w:overflowPunct w:val="0"/>
              <w:topLinePunct w:val="0"/>
              <w:bidi w:val="0"/>
              <w:spacing w:before="87"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tcBorders>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11</w:t>
            </w:r>
          </w:p>
        </w:tc>
        <w:tc>
          <w:tcPr>
            <w:tcW w:w="4002" w:type="dxa"/>
            <w:vAlign w:val="top"/>
          </w:tcPr>
          <w:p>
            <w:pPr>
              <w:pStyle w:val="10"/>
              <w:keepNext w:val="0"/>
              <w:keepLines w:val="0"/>
              <w:pageBreakBefore w:val="0"/>
              <w:widowControl w:val="0"/>
              <w:kinsoku/>
              <w:wordWrap/>
              <w:overflowPunct w:val="0"/>
              <w:topLinePunct w:val="0"/>
              <w:bidi w:val="0"/>
              <w:spacing w:before="90" w:line="217" w:lineRule="auto"/>
              <w:ind w:left="512"/>
              <w:jc w:val="both"/>
            </w:pPr>
            <w:r>
              <w:rPr>
                <w:spacing w:val="-2"/>
              </w:rPr>
              <w:t>畜牧业产值占农业总产值比重</w:t>
            </w:r>
          </w:p>
        </w:tc>
        <w:tc>
          <w:tcPr>
            <w:tcW w:w="867" w:type="dxa"/>
            <w:vAlign w:val="top"/>
          </w:tcPr>
          <w:p>
            <w:pPr>
              <w:pStyle w:val="10"/>
              <w:keepNext w:val="0"/>
              <w:keepLines w:val="0"/>
              <w:pageBreakBefore w:val="0"/>
              <w:widowControl w:val="0"/>
              <w:kinsoku/>
              <w:wordWrap/>
              <w:overflowPunct w:val="0"/>
              <w:topLinePunct w:val="0"/>
              <w:bidi w:val="0"/>
              <w:spacing w:before="89" w:line="241" w:lineRule="auto"/>
              <w:ind w:left="425"/>
              <w:jc w:val="both"/>
            </w:pPr>
            <w:r>
              <w:t>%</w:t>
            </w:r>
          </w:p>
        </w:tc>
        <w:tc>
          <w:tcPr>
            <w:tcW w:w="1371" w:type="dxa"/>
            <w:vAlign w:val="top"/>
          </w:tcPr>
          <w:p>
            <w:pPr>
              <w:pStyle w:val="10"/>
              <w:keepNext w:val="0"/>
              <w:keepLines w:val="0"/>
              <w:pageBreakBefore w:val="0"/>
              <w:widowControl w:val="0"/>
              <w:kinsoku/>
              <w:wordWrap/>
              <w:overflowPunct w:val="0"/>
              <w:topLinePunct w:val="0"/>
              <w:bidi w:val="0"/>
              <w:spacing w:before="130" w:line="181" w:lineRule="auto"/>
              <w:ind w:left="455"/>
              <w:jc w:val="both"/>
            </w:pPr>
            <w:r>
              <w:rPr>
                <w:spacing w:val="-3"/>
              </w:rPr>
              <w:t>68.1</w:t>
            </w:r>
          </w:p>
        </w:tc>
        <w:tc>
          <w:tcPr>
            <w:tcW w:w="1126" w:type="dxa"/>
            <w:vAlign w:val="top"/>
          </w:tcPr>
          <w:p>
            <w:pPr>
              <w:pStyle w:val="10"/>
              <w:keepNext w:val="0"/>
              <w:keepLines w:val="0"/>
              <w:pageBreakBefore w:val="0"/>
              <w:widowControl w:val="0"/>
              <w:kinsoku/>
              <w:wordWrap/>
              <w:overflowPunct w:val="0"/>
              <w:topLinePunct w:val="0"/>
              <w:bidi w:val="0"/>
              <w:spacing w:before="131" w:line="180" w:lineRule="auto"/>
              <w:ind w:left="332"/>
              <w:jc w:val="both"/>
            </w:pPr>
            <w:r>
              <w:rPr>
                <w:spacing w:val="-3"/>
              </w:rPr>
              <w:t>68.3</w:t>
            </w:r>
          </w:p>
        </w:tc>
        <w:tc>
          <w:tcPr>
            <w:tcW w:w="1014" w:type="dxa"/>
            <w:vAlign w:val="top"/>
          </w:tcPr>
          <w:p>
            <w:pPr>
              <w:pStyle w:val="10"/>
              <w:keepNext w:val="0"/>
              <w:keepLines w:val="0"/>
              <w:pageBreakBefore w:val="0"/>
              <w:widowControl w:val="0"/>
              <w:kinsoku/>
              <w:wordWrap/>
              <w:overflowPunct w:val="0"/>
              <w:topLinePunct w:val="0"/>
              <w:bidi w:val="0"/>
              <w:spacing w:before="90"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restart"/>
            <w:tcBorders>
              <w:bottom w:val="nil"/>
            </w:tcBorders>
            <w:textDirection w:val="tbRlV"/>
            <w:vAlign w:val="top"/>
          </w:tcPr>
          <w:p>
            <w:pPr>
              <w:pStyle w:val="10"/>
              <w:keepNext w:val="0"/>
              <w:keepLines w:val="0"/>
              <w:pageBreakBefore w:val="0"/>
              <w:widowControl w:val="0"/>
              <w:kinsoku/>
              <w:wordWrap/>
              <w:overflowPunct w:val="0"/>
              <w:topLinePunct w:val="0"/>
              <w:bidi w:val="0"/>
              <w:spacing w:before="190" w:line="207" w:lineRule="auto"/>
              <w:ind w:left="1158"/>
              <w:jc w:val="both"/>
            </w:pPr>
            <w:r>
              <w:rPr>
                <w:spacing w:val="-1"/>
              </w:rPr>
              <w:t>绿色发展</w:t>
            </w: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12</w:t>
            </w:r>
          </w:p>
        </w:tc>
        <w:tc>
          <w:tcPr>
            <w:tcW w:w="4002" w:type="dxa"/>
            <w:vAlign w:val="top"/>
          </w:tcPr>
          <w:p>
            <w:pPr>
              <w:pStyle w:val="10"/>
              <w:keepNext w:val="0"/>
              <w:keepLines w:val="0"/>
              <w:pageBreakBefore w:val="0"/>
              <w:widowControl w:val="0"/>
              <w:kinsoku/>
              <w:wordWrap/>
              <w:overflowPunct w:val="0"/>
              <w:topLinePunct w:val="0"/>
              <w:bidi w:val="0"/>
              <w:spacing w:before="90" w:line="215" w:lineRule="auto"/>
              <w:ind w:left="869"/>
              <w:jc w:val="both"/>
            </w:pPr>
            <w:r>
              <w:rPr>
                <w:spacing w:val="-2"/>
              </w:rPr>
              <w:t>主要农作物化肥利用率</w:t>
            </w:r>
          </w:p>
        </w:tc>
        <w:tc>
          <w:tcPr>
            <w:tcW w:w="867" w:type="dxa"/>
            <w:vAlign w:val="top"/>
          </w:tcPr>
          <w:p>
            <w:pPr>
              <w:pStyle w:val="10"/>
              <w:keepNext w:val="0"/>
              <w:keepLines w:val="0"/>
              <w:pageBreakBefore w:val="0"/>
              <w:widowControl w:val="0"/>
              <w:kinsoku/>
              <w:wordWrap/>
              <w:overflowPunct w:val="0"/>
              <w:topLinePunct w:val="0"/>
              <w:bidi w:val="0"/>
              <w:spacing w:before="89" w:line="241" w:lineRule="auto"/>
              <w:ind w:left="425"/>
              <w:jc w:val="both"/>
            </w:pPr>
            <w:r>
              <w:t>%</w:t>
            </w:r>
          </w:p>
        </w:tc>
        <w:tc>
          <w:tcPr>
            <w:tcW w:w="1371" w:type="dxa"/>
            <w:vAlign w:val="top"/>
          </w:tcPr>
          <w:p>
            <w:pPr>
              <w:pStyle w:val="10"/>
              <w:keepNext w:val="0"/>
              <w:keepLines w:val="0"/>
              <w:pageBreakBefore w:val="0"/>
              <w:widowControl w:val="0"/>
              <w:kinsoku/>
              <w:wordWrap/>
              <w:overflowPunct w:val="0"/>
              <w:topLinePunct w:val="0"/>
              <w:bidi w:val="0"/>
              <w:spacing w:before="131" w:line="180" w:lineRule="auto"/>
              <w:ind w:left="572"/>
              <w:jc w:val="both"/>
            </w:pPr>
            <w:r>
              <w:rPr>
                <w:spacing w:val="-4"/>
              </w:rPr>
              <w:t>40</w:t>
            </w:r>
          </w:p>
        </w:tc>
        <w:tc>
          <w:tcPr>
            <w:tcW w:w="1126" w:type="dxa"/>
            <w:vAlign w:val="top"/>
          </w:tcPr>
          <w:p>
            <w:pPr>
              <w:pStyle w:val="10"/>
              <w:keepNext w:val="0"/>
              <w:keepLines w:val="0"/>
              <w:pageBreakBefore w:val="0"/>
              <w:widowControl w:val="0"/>
              <w:kinsoku/>
              <w:wordWrap/>
              <w:overflowPunct w:val="0"/>
              <w:topLinePunct w:val="0"/>
              <w:bidi w:val="0"/>
              <w:spacing w:before="90" w:line="236" w:lineRule="auto"/>
              <w:ind w:left="382"/>
              <w:jc w:val="both"/>
            </w:pPr>
            <w:r>
              <w:rPr>
                <w:spacing w:val="-21"/>
              </w:rPr>
              <w:t>≥43</w:t>
            </w:r>
          </w:p>
        </w:tc>
        <w:tc>
          <w:tcPr>
            <w:tcW w:w="1014" w:type="dxa"/>
            <w:vAlign w:val="top"/>
          </w:tcPr>
          <w:p>
            <w:pPr>
              <w:pStyle w:val="10"/>
              <w:keepNext w:val="0"/>
              <w:keepLines w:val="0"/>
              <w:pageBreakBefore w:val="0"/>
              <w:widowControl w:val="0"/>
              <w:kinsoku/>
              <w:wordWrap/>
              <w:overflowPunct w:val="0"/>
              <w:topLinePunct w:val="0"/>
              <w:bidi w:val="0"/>
              <w:spacing w:before="90"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13</w:t>
            </w:r>
          </w:p>
        </w:tc>
        <w:tc>
          <w:tcPr>
            <w:tcW w:w="4002" w:type="dxa"/>
            <w:vAlign w:val="top"/>
          </w:tcPr>
          <w:p>
            <w:pPr>
              <w:pStyle w:val="10"/>
              <w:keepNext w:val="0"/>
              <w:keepLines w:val="0"/>
              <w:pageBreakBefore w:val="0"/>
              <w:widowControl w:val="0"/>
              <w:kinsoku/>
              <w:wordWrap/>
              <w:overflowPunct w:val="0"/>
              <w:topLinePunct w:val="0"/>
              <w:bidi w:val="0"/>
              <w:spacing w:before="90" w:line="215" w:lineRule="auto"/>
              <w:ind w:left="869"/>
              <w:jc w:val="both"/>
            </w:pPr>
            <w:r>
              <w:rPr>
                <w:spacing w:val="-2"/>
              </w:rPr>
              <w:t>主要农作物农药利用率</w:t>
            </w:r>
          </w:p>
        </w:tc>
        <w:tc>
          <w:tcPr>
            <w:tcW w:w="867" w:type="dxa"/>
            <w:vAlign w:val="top"/>
          </w:tcPr>
          <w:p>
            <w:pPr>
              <w:pStyle w:val="10"/>
              <w:keepNext w:val="0"/>
              <w:keepLines w:val="0"/>
              <w:pageBreakBefore w:val="0"/>
              <w:widowControl w:val="0"/>
              <w:kinsoku/>
              <w:wordWrap/>
              <w:overflowPunct w:val="0"/>
              <w:topLinePunct w:val="0"/>
              <w:bidi w:val="0"/>
              <w:spacing w:before="89" w:line="241" w:lineRule="auto"/>
              <w:ind w:left="425"/>
              <w:jc w:val="both"/>
            </w:pPr>
            <w:r>
              <w:t>%</w:t>
            </w:r>
          </w:p>
        </w:tc>
        <w:tc>
          <w:tcPr>
            <w:tcW w:w="1371" w:type="dxa"/>
            <w:vAlign w:val="top"/>
          </w:tcPr>
          <w:p>
            <w:pPr>
              <w:pStyle w:val="10"/>
              <w:keepNext w:val="0"/>
              <w:keepLines w:val="0"/>
              <w:pageBreakBefore w:val="0"/>
              <w:widowControl w:val="0"/>
              <w:kinsoku/>
              <w:wordWrap/>
              <w:overflowPunct w:val="0"/>
              <w:topLinePunct w:val="0"/>
              <w:bidi w:val="0"/>
              <w:spacing w:before="131" w:line="180" w:lineRule="auto"/>
              <w:ind w:left="572"/>
              <w:jc w:val="both"/>
            </w:pPr>
            <w:r>
              <w:rPr>
                <w:spacing w:val="-4"/>
              </w:rPr>
              <w:t>40</w:t>
            </w:r>
          </w:p>
        </w:tc>
        <w:tc>
          <w:tcPr>
            <w:tcW w:w="1126" w:type="dxa"/>
            <w:vAlign w:val="top"/>
          </w:tcPr>
          <w:p>
            <w:pPr>
              <w:pStyle w:val="10"/>
              <w:keepNext w:val="0"/>
              <w:keepLines w:val="0"/>
              <w:pageBreakBefore w:val="0"/>
              <w:widowControl w:val="0"/>
              <w:kinsoku/>
              <w:wordWrap/>
              <w:overflowPunct w:val="0"/>
              <w:topLinePunct w:val="0"/>
              <w:bidi w:val="0"/>
              <w:spacing w:before="90" w:line="236" w:lineRule="auto"/>
              <w:ind w:left="382"/>
              <w:jc w:val="both"/>
            </w:pPr>
            <w:r>
              <w:rPr>
                <w:spacing w:val="-21"/>
              </w:rPr>
              <w:t>≥43</w:t>
            </w:r>
          </w:p>
        </w:tc>
        <w:tc>
          <w:tcPr>
            <w:tcW w:w="1014" w:type="dxa"/>
            <w:vAlign w:val="top"/>
          </w:tcPr>
          <w:p>
            <w:pPr>
              <w:pStyle w:val="10"/>
              <w:keepNext w:val="0"/>
              <w:keepLines w:val="0"/>
              <w:pageBreakBefore w:val="0"/>
              <w:widowControl w:val="0"/>
              <w:kinsoku/>
              <w:wordWrap/>
              <w:overflowPunct w:val="0"/>
              <w:topLinePunct w:val="0"/>
              <w:bidi w:val="0"/>
              <w:spacing w:before="90"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14</w:t>
            </w:r>
          </w:p>
        </w:tc>
        <w:tc>
          <w:tcPr>
            <w:tcW w:w="4002" w:type="dxa"/>
            <w:vAlign w:val="top"/>
          </w:tcPr>
          <w:p>
            <w:pPr>
              <w:pStyle w:val="10"/>
              <w:keepNext w:val="0"/>
              <w:keepLines w:val="0"/>
              <w:pageBreakBefore w:val="0"/>
              <w:widowControl w:val="0"/>
              <w:kinsoku/>
              <w:wordWrap/>
              <w:overflowPunct w:val="0"/>
              <w:topLinePunct w:val="0"/>
              <w:bidi w:val="0"/>
              <w:spacing w:before="89" w:line="216" w:lineRule="auto"/>
              <w:ind w:left="1218"/>
              <w:jc w:val="both"/>
            </w:pPr>
            <w:r>
              <w:rPr>
                <w:spacing w:val="-2"/>
              </w:rPr>
              <w:t>秸秆综合利用率</w:t>
            </w:r>
          </w:p>
        </w:tc>
        <w:tc>
          <w:tcPr>
            <w:tcW w:w="867" w:type="dxa"/>
            <w:vAlign w:val="top"/>
          </w:tcPr>
          <w:p>
            <w:pPr>
              <w:pStyle w:val="10"/>
              <w:keepNext w:val="0"/>
              <w:keepLines w:val="0"/>
              <w:pageBreakBefore w:val="0"/>
              <w:widowControl w:val="0"/>
              <w:kinsoku/>
              <w:wordWrap/>
              <w:overflowPunct w:val="0"/>
              <w:topLinePunct w:val="0"/>
              <w:bidi w:val="0"/>
              <w:spacing w:before="89" w:line="241" w:lineRule="auto"/>
              <w:ind w:left="425"/>
              <w:jc w:val="both"/>
            </w:pPr>
            <w:r>
              <w:t>%</w:t>
            </w:r>
          </w:p>
        </w:tc>
        <w:tc>
          <w:tcPr>
            <w:tcW w:w="1371" w:type="dxa"/>
            <w:vAlign w:val="top"/>
          </w:tcPr>
          <w:p>
            <w:pPr>
              <w:pStyle w:val="10"/>
              <w:keepNext w:val="0"/>
              <w:keepLines w:val="0"/>
              <w:pageBreakBefore w:val="0"/>
              <w:widowControl w:val="0"/>
              <w:kinsoku/>
              <w:wordWrap/>
              <w:overflowPunct w:val="0"/>
              <w:topLinePunct w:val="0"/>
              <w:bidi w:val="0"/>
              <w:spacing w:before="130" w:line="180" w:lineRule="auto"/>
              <w:ind w:left="394"/>
              <w:jc w:val="both"/>
            </w:pPr>
            <w:r>
              <w:rPr>
                <w:spacing w:val="-2"/>
              </w:rPr>
              <w:t>87.73</w:t>
            </w:r>
          </w:p>
        </w:tc>
        <w:tc>
          <w:tcPr>
            <w:tcW w:w="1126" w:type="dxa"/>
            <w:vAlign w:val="top"/>
          </w:tcPr>
          <w:p>
            <w:pPr>
              <w:pStyle w:val="10"/>
              <w:keepNext w:val="0"/>
              <w:keepLines w:val="0"/>
              <w:pageBreakBefore w:val="0"/>
              <w:widowControl w:val="0"/>
              <w:kinsoku/>
              <w:wordWrap/>
              <w:overflowPunct w:val="0"/>
              <w:topLinePunct w:val="0"/>
              <w:bidi w:val="0"/>
              <w:spacing w:before="90" w:line="236" w:lineRule="auto"/>
              <w:ind w:left="382"/>
              <w:jc w:val="both"/>
            </w:pPr>
            <w:r>
              <w:rPr>
                <w:spacing w:val="-21"/>
              </w:rPr>
              <w:t>≥90</w:t>
            </w:r>
          </w:p>
        </w:tc>
        <w:tc>
          <w:tcPr>
            <w:tcW w:w="1014" w:type="dxa"/>
            <w:vAlign w:val="top"/>
          </w:tcPr>
          <w:p>
            <w:pPr>
              <w:pStyle w:val="10"/>
              <w:keepNext w:val="0"/>
              <w:keepLines w:val="0"/>
              <w:pageBreakBefore w:val="0"/>
              <w:widowControl w:val="0"/>
              <w:kinsoku/>
              <w:wordWrap/>
              <w:overflowPunct w:val="0"/>
              <w:topLinePunct w:val="0"/>
              <w:bidi w:val="0"/>
              <w:spacing w:before="90"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15</w:t>
            </w:r>
          </w:p>
        </w:tc>
        <w:tc>
          <w:tcPr>
            <w:tcW w:w="4002" w:type="dxa"/>
            <w:vAlign w:val="top"/>
          </w:tcPr>
          <w:p>
            <w:pPr>
              <w:pStyle w:val="10"/>
              <w:keepNext w:val="0"/>
              <w:keepLines w:val="0"/>
              <w:pageBreakBefore w:val="0"/>
              <w:widowControl w:val="0"/>
              <w:kinsoku/>
              <w:wordWrap/>
              <w:overflowPunct w:val="0"/>
              <w:topLinePunct w:val="0"/>
              <w:bidi w:val="0"/>
              <w:spacing w:before="89" w:line="218" w:lineRule="auto"/>
              <w:ind w:left="1461"/>
              <w:jc w:val="both"/>
            </w:pPr>
            <w:r>
              <w:rPr>
                <w:spacing w:val="-3"/>
              </w:rPr>
              <w:t>农膜回收率</w:t>
            </w:r>
          </w:p>
        </w:tc>
        <w:tc>
          <w:tcPr>
            <w:tcW w:w="867" w:type="dxa"/>
            <w:vAlign w:val="top"/>
          </w:tcPr>
          <w:p>
            <w:pPr>
              <w:pStyle w:val="10"/>
              <w:keepNext w:val="0"/>
              <w:keepLines w:val="0"/>
              <w:pageBreakBefore w:val="0"/>
              <w:widowControl w:val="0"/>
              <w:kinsoku/>
              <w:wordWrap/>
              <w:overflowPunct w:val="0"/>
              <w:topLinePunct w:val="0"/>
              <w:bidi w:val="0"/>
              <w:spacing w:before="89" w:line="241" w:lineRule="auto"/>
              <w:ind w:left="425"/>
              <w:jc w:val="both"/>
            </w:pPr>
            <w:r>
              <w:t>%</w:t>
            </w:r>
          </w:p>
        </w:tc>
        <w:tc>
          <w:tcPr>
            <w:tcW w:w="1371" w:type="dxa"/>
            <w:vAlign w:val="top"/>
          </w:tcPr>
          <w:p>
            <w:pPr>
              <w:pStyle w:val="10"/>
              <w:keepNext w:val="0"/>
              <w:keepLines w:val="0"/>
              <w:pageBreakBefore w:val="0"/>
              <w:widowControl w:val="0"/>
              <w:kinsoku/>
              <w:wordWrap/>
              <w:overflowPunct w:val="0"/>
              <w:topLinePunct w:val="0"/>
              <w:bidi w:val="0"/>
              <w:spacing w:before="130" w:line="180" w:lineRule="auto"/>
              <w:ind w:left="574"/>
              <w:jc w:val="both"/>
            </w:pPr>
            <w:r>
              <w:rPr>
                <w:spacing w:val="-5"/>
              </w:rPr>
              <w:t>90</w:t>
            </w:r>
          </w:p>
        </w:tc>
        <w:tc>
          <w:tcPr>
            <w:tcW w:w="1126" w:type="dxa"/>
            <w:vAlign w:val="top"/>
          </w:tcPr>
          <w:p>
            <w:pPr>
              <w:pStyle w:val="10"/>
              <w:keepNext w:val="0"/>
              <w:keepLines w:val="0"/>
              <w:pageBreakBefore w:val="0"/>
              <w:widowControl w:val="0"/>
              <w:kinsoku/>
              <w:wordWrap/>
              <w:overflowPunct w:val="0"/>
              <w:topLinePunct w:val="0"/>
              <w:bidi w:val="0"/>
              <w:spacing w:before="89" w:line="236" w:lineRule="auto"/>
              <w:ind w:left="382"/>
              <w:jc w:val="both"/>
            </w:pPr>
            <w:r>
              <w:rPr>
                <w:spacing w:val="-21"/>
              </w:rPr>
              <w:t>≥95</w:t>
            </w:r>
          </w:p>
        </w:tc>
        <w:tc>
          <w:tcPr>
            <w:tcW w:w="1014" w:type="dxa"/>
            <w:vAlign w:val="top"/>
          </w:tcPr>
          <w:p>
            <w:pPr>
              <w:pStyle w:val="10"/>
              <w:keepNext w:val="0"/>
              <w:keepLines w:val="0"/>
              <w:pageBreakBefore w:val="0"/>
              <w:widowControl w:val="0"/>
              <w:kinsoku/>
              <w:wordWrap/>
              <w:overflowPunct w:val="0"/>
              <w:topLinePunct w:val="0"/>
              <w:bidi w:val="0"/>
              <w:spacing w:before="89"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16</w:t>
            </w:r>
          </w:p>
        </w:tc>
        <w:tc>
          <w:tcPr>
            <w:tcW w:w="4002" w:type="dxa"/>
            <w:vAlign w:val="top"/>
          </w:tcPr>
          <w:p>
            <w:pPr>
              <w:pStyle w:val="10"/>
              <w:keepNext w:val="0"/>
              <w:keepLines w:val="0"/>
              <w:pageBreakBefore w:val="0"/>
              <w:widowControl w:val="0"/>
              <w:kinsoku/>
              <w:wordWrap/>
              <w:overflowPunct w:val="0"/>
              <w:topLinePunct w:val="0"/>
              <w:bidi w:val="0"/>
              <w:spacing w:before="89" w:line="217" w:lineRule="auto"/>
              <w:ind w:left="992"/>
              <w:jc w:val="both"/>
            </w:pPr>
            <w:r>
              <w:rPr>
                <w:spacing w:val="-3"/>
              </w:rPr>
              <w:t>畜禽粪污综合利用率</w:t>
            </w:r>
          </w:p>
        </w:tc>
        <w:tc>
          <w:tcPr>
            <w:tcW w:w="867" w:type="dxa"/>
            <w:vAlign w:val="top"/>
          </w:tcPr>
          <w:p>
            <w:pPr>
              <w:pStyle w:val="10"/>
              <w:keepNext w:val="0"/>
              <w:keepLines w:val="0"/>
              <w:pageBreakBefore w:val="0"/>
              <w:widowControl w:val="0"/>
              <w:kinsoku/>
              <w:wordWrap/>
              <w:overflowPunct w:val="0"/>
              <w:topLinePunct w:val="0"/>
              <w:bidi w:val="0"/>
              <w:spacing w:before="88" w:line="241" w:lineRule="auto"/>
              <w:ind w:left="425"/>
              <w:jc w:val="both"/>
            </w:pPr>
            <w:r>
              <w:t>%</w:t>
            </w:r>
          </w:p>
        </w:tc>
        <w:tc>
          <w:tcPr>
            <w:tcW w:w="1371" w:type="dxa"/>
            <w:vAlign w:val="top"/>
          </w:tcPr>
          <w:p>
            <w:pPr>
              <w:pStyle w:val="10"/>
              <w:keepNext w:val="0"/>
              <w:keepLines w:val="0"/>
              <w:pageBreakBefore w:val="0"/>
              <w:widowControl w:val="0"/>
              <w:kinsoku/>
              <w:wordWrap/>
              <w:overflowPunct w:val="0"/>
              <w:topLinePunct w:val="0"/>
              <w:bidi w:val="0"/>
              <w:spacing w:before="130" w:line="180" w:lineRule="auto"/>
              <w:ind w:left="394"/>
              <w:jc w:val="both"/>
            </w:pPr>
            <w:r>
              <w:rPr>
                <w:spacing w:val="-2"/>
              </w:rPr>
              <w:t>95.45</w:t>
            </w:r>
          </w:p>
        </w:tc>
        <w:tc>
          <w:tcPr>
            <w:tcW w:w="1126" w:type="dxa"/>
            <w:vAlign w:val="top"/>
          </w:tcPr>
          <w:p>
            <w:pPr>
              <w:pStyle w:val="10"/>
              <w:keepNext w:val="0"/>
              <w:keepLines w:val="0"/>
              <w:pageBreakBefore w:val="0"/>
              <w:widowControl w:val="0"/>
              <w:kinsoku/>
              <w:wordWrap/>
              <w:overflowPunct w:val="0"/>
              <w:topLinePunct w:val="0"/>
              <w:bidi w:val="0"/>
              <w:spacing w:before="89" w:line="236" w:lineRule="auto"/>
              <w:ind w:left="382"/>
              <w:jc w:val="both"/>
            </w:pPr>
            <w:r>
              <w:rPr>
                <w:spacing w:val="-21"/>
              </w:rPr>
              <w:t>≥96</w:t>
            </w:r>
          </w:p>
        </w:tc>
        <w:tc>
          <w:tcPr>
            <w:tcW w:w="1014" w:type="dxa"/>
            <w:vAlign w:val="top"/>
          </w:tcPr>
          <w:p>
            <w:pPr>
              <w:pStyle w:val="10"/>
              <w:keepNext w:val="0"/>
              <w:keepLines w:val="0"/>
              <w:pageBreakBefore w:val="0"/>
              <w:widowControl w:val="0"/>
              <w:kinsoku/>
              <w:wordWrap/>
              <w:overflowPunct w:val="0"/>
              <w:topLinePunct w:val="0"/>
              <w:bidi w:val="0"/>
              <w:spacing w:before="89"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17</w:t>
            </w:r>
          </w:p>
        </w:tc>
        <w:tc>
          <w:tcPr>
            <w:tcW w:w="4002" w:type="dxa"/>
            <w:vAlign w:val="top"/>
          </w:tcPr>
          <w:p>
            <w:pPr>
              <w:pStyle w:val="10"/>
              <w:keepNext w:val="0"/>
              <w:keepLines w:val="0"/>
              <w:pageBreakBefore w:val="0"/>
              <w:widowControl w:val="0"/>
              <w:kinsoku/>
              <w:wordWrap/>
              <w:overflowPunct w:val="0"/>
              <w:topLinePunct w:val="0"/>
              <w:bidi w:val="0"/>
              <w:spacing w:before="89" w:line="217" w:lineRule="auto"/>
              <w:ind w:left="741"/>
              <w:jc w:val="both"/>
            </w:pPr>
            <w:r>
              <w:rPr>
                <w:spacing w:val="-2"/>
              </w:rPr>
              <w:t>农田灌溉水有效利用系数</w:t>
            </w:r>
          </w:p>
        </w:tc>
        <w:tc>
          <w:tcPr>
            <w:tcW w:w="867" w:type="dxa"/>
            <w:vAlign w:val="top"/>
          </w:tcPr>
          <w:p>
            <w:pPr>
              <w:pStyle w:val="10"/>
              <w:keepNext w:val="0"/>
              <w:keepLines w:val="0"/>
              <w:pageBreakBefore w:val="0"/>
              <w:widowControl w:val="0"/>
              <w:kinsoku/>
              <w:wordWrap/>
              <w:overflowPunct w:val="0"/>
              <w:topLinePunct w:val="0"/>
              <w:bidi w:val="0"/>
              <w:spacing w:before="205" w:line="159" w:lineRule="exact"/>
              <w:ind w:left="298"/>
              <w:jc w:val="both"/>
            </w:pPr>
            <w:r>
              <w:rPr>
                <w:position w:val="-4"/>
              </w:rPr>
              <w:t>--</w:t>
            </w:r>
          </w:p>
        </w:tc>
        <w:tc>
          <w:tcPr>
            <w:tcW w:w="1371" w:type="dxa"/>
            <w:vAlign w:val="top"/>
          </w:tcPr>
          <w:p>
            <w:pPr>
              <w:pStyle w:val="10"/>
              <w:keepNext w:val="0"/>
              <w:keepLines w:val="0"/>
              <w:pageBreakBefore w:val="0"/>
              <w:widowControl w:val="0"/>
              <w:kinsoku/>
              <w:wordWrap/>
              <w:overflowPunct w:val="0"/>
              <w:topLinePunct w:val="0"/>
              <w:bidi w:val="0"/>
              <w:spacing w:before="129" w:line="181" w:lineRule="auto"/>
              <w:ind w:left="455"/>
              <w:jc w:val="both"/>
            </w:pPr>
            <w:r>
              <w:rPr>
                <w:spacing w:val="-3"/>
              </w:rPr>
              <w:t>0.61</w:t>
            </w:r>
          </w:p>
        </w:tc>
        <w:tc>
          <w:tcPr>
            <w:tcW w:w="1126" w:type="dxa"/>
            <w:vAlign w:val="top"/>
          </w:tcPr>
          <w:p>
            <w:pPr>
              <w:pStyle w:val="10"/>
              <w:keepNext w:val="0"/>
              <w:keepLines w:val="0"/>
              <w:pageBreakBefore w:val="0"/>
              <w:widowControl w:val="0"/>
              <w:kinsoku/>
              <w:wordWrap/>
              <w:overflowPunct w:val="0"/>
              <w:topLinePunct w:val="0"/>
              <w:bidi w:val="0"/>
              <w:spacing w:before="130" w:line="180" w:lineRule="auto"/>
              <w:ind w:left="332"/>
              <w:jc w:val="both"/>
            </w:pPr>
            <w:r>
              <w:rPr>
                <w:spacing w:val="-3"/>
              </w:rPr>
              <w:t>0.62</w:t>
            </w:r>
          </w:p>
        </w:tc>
        <w:tc>
          <w:tcPr>
            <w:tcW w:w="1014" w:type="dxa"/>
            <w:vAlign w:val="top"/>
          </w:tcPr>
          <w:p>
            <w:pPr>
              <w:pStyle w:val="10"/>
              <w:keepNext w:val="0"/>
              <w:keepLines w:val="0"/>
              <w:pageBreakBefore w:val="0"/>
              <w:widowControl w:val="0"/>
              <w:kinsoku/>
              <w:wordWrap/>
              <w:overflowPunct w:val="0"/>
              <w:topLinePunct w:val="0"/>
              <w:bidi w:val="0"/>
              <w:spacing w:before="89" w:line="215" w:lineRule="auto"/>
              <w:ind w:left="166"/>
              <w:jc w:val="both"/>
            </w:pPr>
            <w:r>
              <w:rPr>
                <w:spacing w:val="-8"/>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26" w:type="dxa"/>
            <w:vMerge w:val="continue"/>
            <w:tcBorders>
              <w:top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18</w:t>
            </w:r>
          </w:p>
        </w:tc>
        <w:tc>
          <w:tcPr>
            <w:tcW w:w="4002" w:type="dxa"/>
            <w:vAlign w:val="top"/>
          </w:tcPr>
          <w:p>
            <w:pPr>
              <w:pStyle w:val="10"/>
              <w:keepNext w:val="0"/>
              <w:keepLines w:val="0"/>
              <w:pageBreakBefore w:val="0"/>
              <w:widowControl w:val="0"/>
              <w:kinsoku/>
              <w:wordWrap/>
              <w:overflowPunct w:val="0"/>
              <w:topLinePunct w:val="0"/>
              <w:bidi w:val="0"/>
              <w:spacing w:before="38" w:line="223" w:lineRule="auto"/>
              <w:ind w:left="863" w:hanging="836"/>
              <w:jc w:val="both"/>
            </w:pPr>
            <w:r>
              <w:rPr>
                <w:spacing w:val="-7"/>
              </w:rPr>
              <w:t>绿色、有机、地理标志、良好农业规范</w:t>
            </w:r>
            <w:r>
              <w:rPr>
                <w:spacing w:val="-2"/>
              </w:rPr>
              <w:t>农产品的认证登记数量</w:t>
            </w:r>
          </w:p>
        </w:tc>
        <w:tc>
          <w:tcPr>
            <w:tcW w:w="867" w:type="dxa"/>
            <w:vAlign w:val="top"/>
          </w:tcPr>
          <w:p>
            <w:pPr>
              <w:pStyle w:val="10"/>
              <w:keepNext w:val="0"/>
              <w:keepLines w:val="0"/>
              <w:pageBreakBefore w:val="0"/>
              <w:widowControl w:val="0"/>
              <w:kinsoku/>
              <w:wordWrap/>
              <w:overflowPunct w:val="0"/>
              <w:topLinePunct w:val="0"/>
              <w:bidi w:val="0"/>
              <w:spacing w:before="194" w:line="218" w:lineRule="auto"/>
              <w:ind w:left="303"/>
              <w:jc w:val="both"/>
            </w:pPr>
            <w:r>
              <w:t>个</w:t>
            </w:r>
          </w:p>
        </w:tc>
        <w:tc>
          <w:tcPr>
            <w:tcW w:w="1371" w:type="dxa"/>
            <w:vAlign w:val="top"/>
          </w:tcPr>
          <w:p>
            <w:pPr>
              <w:pStyle w:val="10"/>
              <w:keepNext w:val="0"/>
              <w:keepLines w:val="0"/>
              <w:pageBreakBefore w:val="0"/>
              <w:widowControl w:val="0"/>
              <w:kinsoku/>
              <w:wordWrap/>
              <w:overflowPunct w:val="0"/>
              <w:topLinePunct w:val="0"/>
              <w:bidi w:val="0"/>
              <w:spacing w:before="235" w:line="180" w:lineRule="auto"/>
              <w:ind w:left="577"/>
              <w:jc w:val="both"/>
            </w:pPr>
            <w:r>
              <w:rPr>
                <w:spacing w:val="-7"/>
              </w:rPr>
              <w:t>32</w:t>
            </w:r>
          </w:p>
        </w:tc>
        <w:tc>
          <w:tcPr>
            <w:tcW w:w="1126" w:type="dxa"/>
            <w:vAlign w:val="top"/>
          </w:tcPr>
          <w:p>
            <w:pPr>
              <w:pStyle w:val="10"/>
              <w:keepNext w:val="0"/>
              <w:keepLines w:val="0"/>
              <w:pageBreakBefore w:val="0"/>
              <w:widowControl w:val="0"/>
              <w:kinsoku/>
              <w:wordWrap/>
              <w:overflowPunct w:val="0"/>
              <w:topLinePunct w:val="0"/>
              <w:bidi w:val="0"/>
              <w:spacing w:before="235" w:line="180" w:lineRule="auto"/>
              <w:ind w:left="449"/>
              <w:jc w:val="both"/>
            </w:pPr>
            <w:r>
              <w:rPr>
                <w:spacing w:val="-4"/>
              </w:rPr>
              <w:t>43</w:t>
            </w:r>
          </w:p>
        </w:tc>
        <w:tc>
          <w:tcPr>
            <w:tcW w:w="1014" w:type="dxa"/>
            <w:vAlign w:val="top"/>
          </w:tcPr>
          <w:p>
            <w:pPr>
              <w:pStyle w:val="10"/>
              <w:keepNext w:val="0"/>
              <w:keepLines w:val="0"/>
              <w:pageBreakBefore w:val="0"/>
              <w:widowControl w:val="0"/>
              <w:kinsoku/>
              <w:wordWrap/>
              <w:overflowPunct w:val="0"/>
              <w:topLinePunct w:val="0"/>
              <w:bidi w:val="0"/>
              <w:spacing w:before="194"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26" w:type="dxa"/>
            <w:vMerge w:val="restart"/>
            <w:tcBorders>
              <w:bottom w:val="nil"/>
            </w:tcBorders>
            <w:textDirection w:val="tbRlV"/>
            <w:vAlign w:val="top"/>
          </w:tcPr>
          <w:p>
            <w:pPr>
              <w:pStyle w:val="10"/>
              <w:keepNext w:val="0"/>
              <w:keepLines w:val="0"/>
              <w:pageBreakBefore w:val="0"/>
              <w:widowControl w:val="0"/>
              <w:kinsoku/>
              <w:wordWrap/>
              <w:overflowPunct w:val="0"/>
              <w:topLinePunct w:val="0"/>
              <w:bidi w:val="0"/>
              <w:spacing w:before="190" w:line="204" w:lineRule="auto"/>
              <w:ind w:left="442"/>
              <w:jc w:val="both"/>
            </w:pPr>
            <w:r>
              <w:rPr>
                <w:spacing w:val="54"/>
              </w:rPr>
              <w:t>有效治理</w:t>
            </w: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19</w:t>
            </w:r>
          </w:p>
        </w:tc>
        <w:tc>
          <w:tcPr>
            <w:tcW w:w="4002" w:type="dxa"/>
            <w:vAlign w:val="top"/>
          </w:tcPr>
          <w:p>
            <w:pPr>
              <w:pStyle w:val="10"/>
              <w:keepNext w:val="0"/>
              <w:keepLines w:val="0"/>
              <w:pageBreakBefore w:val="0"/>
              <w:widowControl w:val="0"/>
              <w:kinsoku/>
              <w:wordWrap/>
              <w:overflowPunct w:val="0"/>
              <w:topLinePunct w:val="0"/>
              <w:bidi w:val="0"/>
              <w:spacing w:before="39" w:line="206" w:lineRule="auto"/>
              <w:ind w:left="979"/>
              <w:jc w:val="both"/>
            </w:pPr>
            <w:r>
              <w:rPr>
                <w:spacing w:val="-2"/>
              </w:rPr>
              <w:t>村庄规划管理覆盖率</w:t>
            </w:r>
          </w:p>
        </w:tc>
        <w:tc>
          <w:tcPr>
            <w:tcW w:w="867" w:type="dxa"/>
            <w:vAlign w:val="top"/>
          </w:tcPr>
          <w:p>
            <w:pPr>
              <w:pStyle w:val="10"/>
              <w:keepNext w:val="0"/>
              <w:keepLines w:val="0"/>
              <w:pageBreakBefore w:val="0"/>
              <w:widowControl w:val="0"/>
              <w:kinsoku/>
              <w:wordWrap/>
              <w:overflowPunct w:val="0"/>
              <w:topLinePunct w:val="0"/>
              <w:bidi w:val="0"/>
              <w:spacing w:before="39" w:line="206" w:lineRule="auto"/>
              <w:ind w:left="353"/>
              <w:jc w:val="both"/>
            </w:pPr>
            <w:r>
              <w:t>%</w:t>
            </w:r>
          </w:p>
        </w:tc>
        <w:tc>
          <w:tcPr>
            <w:tcW w:w="1371" w:type="dxa"/>
            <w:vAlign w:val="top"/>
          </w:tcPr>
          <w:p>
            <w:pPr>
              <w:pStyle w:val="10"/>
              <w:keepNext w:val="0"/>
              <w:keepLines w:val="0"/>
              <w:pageBreakBefore w:val="0"/>
              <w:widowControl w:val="0"/>
              <w:kinsoku/>
              <w:wordWrap/>
              <w:overflowPunct w:val="0"/>
              <w:topLinePunct w:val="0"/>
              <w:bidi w:val="0"/>
              <w:spacing w:before="79" w:line="175" w:lineRule="auto"/>
              <w:ind w:left="530"/>
              <w:jc w:val="both"/>
            </w:pPr>
            <w:r>
              <w:rPr>
                <w:spacing w:val="-9"/>
              </w:rPr>
              <w:t>100</w:t>
            </w:r>
          </w:p>
        </w:tc>
        <w:tc>
          <w:tcPr>
            <w:tcW w:w="1126" w:type="dxa"/>
            <w:vAlign w:val="top"/>
          </w:tcPr>
          <w:p>
            <w:pPr>
              <w:pStyle w:val="10"/>
              <w:keepNext w:val="0"/>
              <w:keepLines w:val="0"/>
              <w:pageBreakBefore w:val="0"/>
              <w:widowControl w:val="0"/>
              <w:kinsoku/>
              <w:wordWrap/>
              <w:overflowPunct w:val="0"/>
              <w:topLinePunct w:val="0"/>
              <w:bidi w:val="0"/>
              <w:spacing w:before="79" w:line="175" w:lineRule="auto"/>
              <w:ind w:left="407"/>
              <w:jc w:val="both"/>
            </w:pPr>
            <w:r>
              <w:rPr>
                <w:spacing w:val="-9"/>
              </w:rPr>
              <w:t>100</w:t>
            </w:r>
          </w:p>
        </w:tc>
        <w:tc>
          <w:tcPr>
            <w:tcW w:w="1014" w:type="dxa"/>
            <w:vAlign w:val="top"/>
          </w:tcPr>
          <w:p>
            <w:pPr>
              <w:pStyle w:val="10"/>
              <w:keepNext w:val="0"/>
              <w:keepLines w:val="0"/>
              <w:pageBreakBefore w:val="0"/>
              <w:widowControl w:val="0"/>
              <w:kinsoku/>
              <w:wordWrap/>
              <w:overflowPunct w:val="0"/>
              <w:topLinePunct w:val="0"/>
              <w:bidi w:val="0"/>
              <w:spacing w:before="39" w:line="206" w:lineRule="auto"/>
              <w:ind w:left="166"/>
              <w:jc w:val="both"/>
            </w:pPr>
            <w:r>
              <w:rPr>
                <w:spacing w:val="-8"/>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20</w:t>
            </w:r>
          </w:p>
        </w:tc>
        <w:tc>
          <w:tcPr>
            <w:tcW w:w="4002" w:type="dxa"/>
            <w:vAlign w:val="top"/>
          </w:tcPr>
          <w:p>
            <w:pPr>
              <w:pStyle w:val="10"/>
              <w:keepNext w:val="0"/>
              <w:keepLines w:val="0"/>
              <w:pageBreakBefore w:val="0"/>
              <w:widowControl w:val="0"/>
              <w:kinsoku/>
              <w:wordWrap/>
              <w:overflowPunct w:val="0"/>
              <w:topLinePunct w:val="0"/>
              <w:bidi w:val="0"/>
              <w:spacing w:before="39" w:line="206" w:lineRule="auto"/>
              <w:ind w:left="737"/>
              <w:jc w:val="both"/>
            </w:pPr>
            <w:r>
              <w:rPr>
                <w:spacing w:val="-1"/>
              </w:rPr>
              <w:t>建有综合服务站的村占比</w:t>
            </w:r>
          </w:p>
        </w:tc>
        <w:tc>
          <w:tcPr>
            <w:tcW w:w="867" w:type="dxa"/>
            <w:vAlign w:val="top"/>
          </w:tcPr>
          <w:p>
            <w:pPr>
              <w:pStyle w:val="10"/>
              <w:keepNext w:val="0"/>
              <w:keepLines w:val="0"/>
              <w:pageBreakBefore w:val="0"/>
              <w:widowControl w:val="0"/>
              <w:kinsoku/>
              <w:wordWrap/>
              <w:overflowPunct w:val="0"/>
              <w:topLinePunct w:val="0"/>
              <w:bidi w:val="0"/>
              <w:spacing w:before="37" w:line="207" w:lineRule="auto"/>
              <w:ind w:left="353"/>
              <w:jc w:val="both"/>
            </w:pPr>
            <w:r>
              <w:t>%</w:t>
            </w:r>
          </w:p>
        </w:tc>
        <w:tc>
          <w:tcPr>
            <w:tcW w:w="1371" w:type="dxa"/>
            <w:vAlign w:val="top"/>
          </w:tcPr>
          <w:p>
            <w:pPr>
              <w:pStyle w:val="10"/>
              <w:keepNext w:val="0"/>
              <w:keepLines w:val="0"/>
              <w:pageBreakBefore w:val="0"/>
              <w:widowControl w:val="0"/>
              <w:kinsoku/>
              <w:wordWrap/>
              <w:overflowPunct w:val="0"/>
              <w:topLinePunct w:val="0"/>
              <w:bidi w:val="0"/>
              <w:spacing w:before="79" w:line="175" w:lineRule="auto"/>
              <w:ind w:left="457"/>
              <w:jc w:val="both"/>
            </w:pPr>
            <w:r>
              <w:rPr>
                <w:spacing w:val="-4"/>
              </w:rPr>
              <w:t>57.9</w:t>
            </w:r>
          </w:p>
        </w:tc>
        <w:tc>
          <w:tcPr>
            <w:tcW w:w="1126" w:type="dxa"/>
            <w:vAlign w:val="top"/>
          </w:tcPr>
          <w:p>
            <w:pPr>
              <w:pStyle w:val="10"/>
              <w:keepNext w:val="0"/>
              <w:keepLines w:val="0"/>
              <w:pageBreakBefore w:val="0"/>
              <w:widowControl w:val="0"/>
              <w:kinsoku/>
              <w:wordWrap/>
              <w:overflowPunct w:val="0"/>
              <w:topLinePunct w:val="0"/>
              <w:bidi w:val="0"/>
              <w:spacing w:before="78" w:line="176" w:lineRule="auto"/>
              <w:ind w:left="407"/>
              <w:jc w:val="both"/>
            </w:pPr>
            <w:r>
              <w:rPr>
                <w:spacing w:val="-9"/>
              </w:rPr>
              <w:t>100</w:t>
            </w:r>
          </w:p>
        </w:tc>
        <w:tc>
          <w:tcPr>
            <w:tcW w:w="1014" w:type="dxa"/>
            <w:vAlign w:val="top"/>
          </w:tcPr>
          <w:p>
            <w:pPr>
              <w:pStyle w:val="10"/>
              <w:keepNext w:val="0"/>
              <w:keepLines w:val="0"/>
              <w:pageBreakBefore w:val="0"/>
              <w:widowControl w:val="0"/>
              <w:kinsoku/>
              <w:wordWrap/>
              <w:overflowPunct w:val="0"/>
              <w:topLinePunct w:val="0"/>
              <w:bidi w:val="0"/>
              <w:spacing w:before="39" w:line="206"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21</w:t>
            </w:r>
          </w:p>
        </w:tc>
        <w:tc>
          <w:tcPr>
            <w:tcW w:w="4002" w:type="dxa"/>
            <w:vAlign w:val="top"/>
          </w:tcPr>
          <w:p>
            <w:pPr>
              <w:pStyle w:val="10"/>
              <w:keepNext w:val="0"/>
              <w:keepLines w:val="0"/>
              <w:pageBreakBefore w:val="0"/>
              <w:widowControl w:val="0"/>
              <w:kinsoku/>
              <w:wordWrap/>
              <w:overflowPunct w:val="0"/>
              <w:topLinePunct w:val="0"/>
              <w:bidi w:val="0"/>
              <w:spacing w:before="39" w:line="216" w:lineRule="auto"/>
              <w:ind w:left="458"/>
              <w:jc w:val="both"/>
            </w:pPr>
            <w:r>
              <w:rPr>
                <w:spacing w:val="-2"/>
              </w:rPr>
              <w:t>具备条件的建制村道路硬化率</w:t>
            </w:r>
          </w:p>
        </w:tc>
        <w:tc>
          <w:tcPr>
            <w:tcW w:w="867" w:type="dxa"/>
            <w:vAlign w:val="top"/>
          </w:tcPr>
          <w:p>
            <w:pPr>
              <w:pStyle w:val="10"/>
              <w:keepNext w:val="0"/>
              <w:keepLines w:val="0"/>
              <w:pageBreakBefore w:val="0"/>
              <w:widowControl w:val="0"/>
              <w:kinsoku/>
              <w:wordWrap/>
              <w:overflowPunct w:val="0"/>
              <w:topLinePunct w:val="0"/>
              <w:bidi w:val="0"/>
              <w:spacing w:before="37" w:line="241" w:lineRule="auto"/>
              <w:ind w:left="353"/>
              <w:jc w:val="both"/>
            </w:pPr>
            <w:r>
              <w:t>%</w:t>
            </w:r>
          </w:p>
        </w:tc>
        <w:tc>
          <w:tcPr>
            <w:tcW w:w="1371" w:type="dxa"/>
            <w:vAlign w:val="top"/>
          </w:tcPr>
          <w:p>
            <w:pPr>
              <w:pStyle w:val="10"/>
              <w:keepNext w:val="0"/>
              <w:keepLines w:val="0"/>
              <w:pageBreakBefore w:val="0"/>
              <w:widowControl w:val="0"/>
              <w:kinsoku/>
              <w:wordWrap/>
              <w:overflowPunct w:val="0"/>
              <w:topLinePunct w:val="0"/>
              <w:bidi w:val="0"/>
              <w:spacing w:before="102" w:line="181" w:lineRule="auto"/>
              <w:ind w:left="530"/>
              <w:jc w:val="both"/>
            </w:pPr>
            <w:r>
              <w:rPr>
                <w:spacing w:val="-9"/>
              </w:rPr>
              <w:t>100</w:t>
            </w:r>
          </w:p>
        </w:tc>
        <w:tc>
          <w:tcPr>
            <w:tcW w:w="1126" w:type="dxa"/>
            <w:vAlign w:val="top"/>
          </w:tcPr>
          <w:p>
            <w:pPr>
              <w:pStyle w:val="10"/>
              <w:keepNext w:val="0"/>
              <w:keepLines w:val="0"/>
              <w:pageBreakBefore w:val="0"/>
              <w:widowControl w:val="0"/>
              <w:kinsoku/>
              <w:wordWrap/>
              <w:overflowPunct w:val="0"/>
              <w:topLinePunct w:val="0"/>
              <w:bidi w:val="0"/>
              <w:spacing w:before="102" w:line="181" w:lineRule="auto"/>
              <w:ind w:left="407"/>
              <w:jc w:val="both"/>
            </w:pPr>
            <w:r>
              <w:rPr>
                <w:spacing w:val="-9"/>
              </w:rPr>
              <w:t>100</w:t>
            </w:r>
          </w:p>
        </w:tc>
        <w:tc>
          <w:tcPr>
            <w:tcW w:w="1014" w:type="dxa"/>
            <w:vAlign w:val="top"/>
          </w:tcPr>
          <w:p>
            <w:pPr>
              <w:pStyle w:val="10"/>
              <w:keepNext w:val="0"/>
              <w:keepLines w:val="0"/>
              <w:pageBreakBefore w:val="0"/>
              <w:widowControl w:val="0"/>
              <w:kinsoku/>
              <w:wordWrap/>
              <w:overflowPunct w:val="0"/>
              <w:topLinePunct w:val="0"/>
              <w:bidi w:val="0"/>
              <w:spacing w:before="62"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22</w:t>
            </w:r>
          </w:p>
        </w:tc>
        <w:tc>
          <w:tcPr>
            <w:tcW w:w="4002" w:type="dxa"/>
            <w:vAlign w:val="top"/>
          </w:tcPr>
          <w:p>
            <w:pPr>
              <w:pStyle w:val="10"/>
              <w:keepNext w:val="0"/>
              <w:keepLines w:val="0"/>
              <w:pageBreakBefore w:val="0"/>
              <w:widowControl w:val="0"/>
              <w:kinsoku/>
              <w:wordWrap/>
              <w:overflowPunct w:val="0"/>
              <w:topLinePunct w:val="0"/>
              <w:bidi w:val="0"/>
              <w:spacing w:before="40" w:line="205" w:lineRule="auto"/>
              <w:ind w:left="1217"/>
              <w:jc w:val="both"/>
            </w:pPr>
            <w:r>
              <w:rPr>
                <w:spacing w:val="-2"/>
              </w:rPr>
              <w:t>建制村通客车率</w:t>
            </w:r>
          </w:p>
        </w:tc>
        <w:tc>
          <w:tcPr>
            <w:tcW w:w="867" w:type="dxa"/>
            <w:vAlign w:val="top"/>
          </w:tcPr>
          <w:p>
            <w:pPr>
              <w:keepNext w:val="0"/>
              <w:keepLines w:val="0"/>
              <w:pageBreakBefore w:val="0"/>
              <w:widowControl w:val="0"/>
              <w:kinsoku/>
              <w:wordWrap/>
              <w:overflowPunct w:val="0"/>
              <w:topLinePunct w:val="0"/>
              <w:bidi w:val="0"/>
              <w:jc w:val="both"/>
              <w:rPr>
                <w:rFonts w:ascii="Arial"/>
                <w:sz w:val="21"/>
              </w:rPr>
            </w:pPr>
          </w:p>
        </w:tc>
        <w:tc>
          <w:tcPr>
            <w:tcW w:w="1371" w:type="dxa"/>
            <w:vAlign w:val="top"/>
          </w:tcPr>
          <w:p>
            <w:pPr>
              <w:pStyle w:val="10"/>
              <w:keepNext w:val="0"/>
              <w:keepLines w:val="0"/>
              <w:pageBreakBefore w:val="0"/>
              <w:widowControl w:val="0"/>
              <w:kinsoku/>
              <w:wordWrap/>
              <w:overflowPunct w:val="0"/>
              <w:topLinePunct w:val="0"/>
              <w:bidi w:val="0"/>
              <w:spacing w:before="79" w:line="175" w:lineRule="auto"/>
              <w:ind w:left="530"/>
              <w:jc w:val="both"/>
            </w:pPr>
            <w:r>
              <w:rPr>
                <w:spacing w:val="-9"/>
              </w:rPr>
              <w:t>100</w:t>
            </w:r>
          </w:p>
        </w:tc>
        <w:tc>
          <w:tcPr>
            <w:tcW w:w="1126" w:type="dxa"/>
            <w:vAlign w:val="top"/>
          </w:tcPr>
          <w:p>
            <w:pPr>
              <w:pStyle w:val="10"/>
              <w:keepNext w:val="0"/>
              <w:keepLines w:val="0"/>
              <w:pageBreakBefore w:val="0"/>
              <w:widowControl w:val="0"/>
              <w:kinsoku/>
              <w:wordWrap/>
              <w:overflowPunct w:val="0"/>
              <w:topLinePunct w:val="0"/>
              <w:bidi w:val="0"/>
              <w:spacing w:before="79" w:line="175" w:lineRule="auto"/>
              <w:ind w:left="407"/>
              <w:jc w:val="both"/>
            </w:pPr>
            <w:r>
              <w:rPr>
                <w:spacing w:val="-9"/>
              </w:rPr>
              <w:t>100</w:t>
            </w:r>
          </w:p>
        </w:tc>
        <w:tc>
          <w:tcPr>
            <w:tcW w:w="1014" w:type="dxa"/>
            <w:vAlign w:val="top"/>
          </w:tcPr>
          <w:p>
            <w:pPr>
              <w:pStyle w:val="10"/>
              <w:keepNext w:val="0"/>
              <w:keepLines w:val="0"/>
              <w:pageBreakBefore w:val="0"/>
              <w:widowControl w:val="0"/>
              <w:kinsoku/>
              <w:wordWrap/>
              <w:overflowPunct w:val="0"/>
              <w:topLinePunct w:val="0"/>
              <w:bidi w:val="0"/>
              <w:spacing w:before="40" w:line="20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23</w:t>
            </w:r>
          </w:p>
        </w:tc>
        <w:tc>
          <w:tcPr>
            <w:tcW w:w="4002" w:type="dxa"/>
            <w:vAlign w:val="top"/>
          </w:tcPr>
          <w:p>
            <w:pPr>
              <w:pStyle w:val="10"/>
              <w:keepNext w:val="0"/>
              <w:keepLines w:val="0"/>
              <w:pageBreakBefore w:val="0"/>
              <w:widowControl w:val="0"/>
              <w:kinsoku/>
              <w:wordWrap/>
              <w:overflowPunct w:val="0"/>
              <w:topLinePunct w:val="0"/>
              <w:bidi w:val="0"/>
              <w:spacing w:before="40" w:line="216" w:lineRule="auto"/>
              <w:ind w:left="1101"/>
              <w:jc w:val="both"/>
            </w:pPr>
            <w:r>
              <w:rPr>
                <w:spacing w:val="-2"/>
              </w:rPr>
              <w:t>农村卫生厕所改造</w:t>
            </w:r>
          </w:p>
        </w:tc>
        <w:tc>
          <w:tcPr>
            <w:tcW w:w="867" w:type="dxa"/>
            <w:vAlign w:val="top"/>
          </w:tcPr>
          <w:p>
            <w:pPr>
              <w:pStyle w:val="10"/>
              <w:keepNext w:val="0"/>
              <w:keepLines w:val="0"/>
              <w:pageBreakBefore w:val="0"/>
              <w:widowControl w:val="0"/>
              <w:kinsoku/>
              <w:wordWrap/>
              <w:overflowPunct w:val="0"/>
              <w:topLinePunct w:val="0"/>
              <w:bidi w:val="0"/>
              <w:spacing w:before="39" w:line="218" w:lineRule="auto"/>
              <w:ind w:left="194"/>
              <w:jc w:val="both"/>
            </w:pPr>
            <w:r>
              <w:rPr>
                <w:spacing w:val="-12"/>
              </w:rPr>
              <w:t>万户</w:t>
            </w:r>
          </w:p>
        </w:tc>
        <w:tc>
          <w:tcPr>
            <w:tcW w:w="1371" w:type="dxa"/>
            <w:vAlign w:val="top"/>
          </w:tcPr>
          <w:p>
            <w:pPr>
              <w:pStyle w:val="10"/>
              <w:keepNext w:val="0"/>
              <w:keepLines w:val="0"/>
              <w:pageBreakBefore w:val="0"/>
              <w:widowControl w:val="0"/>
              <w:kinsoku/>
              <w:wordWrap/>
              <w:overflowPunct w:val="0"/>
              <w:topLinePunct w:val="0"/>
              <w:bidi w:val="0"/>
              <w:spacing w:before="79" w:line="181" w:lineRule="auto"/>
              <w:ind w:left="530"/>
              <w:jc w:val="both"/>
            </w:pPr>
            <w:r>
              <w:rPr>
                <w:spacing w:val="-9"/>
              </w:rPr>
              <w:t>1.2</w:t>
            </w:r>
          </w:p>
        </w:tc>
        <w:tc>
          <w:tcPr>
            <w:tcW w:w="1126" w:type="dxa"/>
            <w:vAlign w:val="top"/>
          </w:tcPr>
          <w:p>
            <w:pPr>
              <w:pStyle w:val="10"/>
              <w:keepNext w:val="0"/>
              <w:keepLines w:val="0"/>
              <w:pageBreakBefore w:val="0"/>
              <w:widowControl w:val="0"/>
              <w:kinsoku/>
              <w:wordWrap/>
              <w:overflowPunct w:val="0"/>
              <w:topLinePunct w:val="0"/>
              <w:bidi w:val="0"/>
              <w:spacing w:before="79" w:line="181" w:lineRule="auto"/>
              <w:ind w:left="407"/>
              <w:jc w:val="both"/>
            </w:pPr>
            <w:r>
              <w:rPr>
                <w:spacing w:val="-9"/>
              </w:rPr>
              <w:t>1.5</w:t>
            </w:r>
          </w:p>
        </w:tc>
        <w:tc>
          <w:tcPr>
            <w:tcW w:w="1014" w:type="dxa"/>
            <w:vAlign w:val="top"/>
          </w:tcPr>
          <w:p>
            <w:pPr>
              <w:pStyle w:val="10"/>
              <w:keepNext w:val="0"/>
              <w:keepLines w:val="0"/>
              <w:pageBreakBefore w:val="0"/>
              <w:widowControl w:val="0"/>
              <w:kinsoku/>
              <w:wordWrap/>
              <w:overflowPunct w:val="0"/>
              <w:topLinePunct w:val="0"/>
              <w:bidi w:val="0"/>
              <w:spacing w:before="63"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26" w:type="dxa"/>
            <w:vMerge w:val="continue"/>
            <w:tcBorders>
              <w:top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24</w:t>
            </w:r>
          </w:p>
        </w:tc>
        <w:tc>
          <w:tcPr>
            <w:tcW w:w="4002" w:type="dxa"/>
            <w:vAlign w:val="top"/>
          </w:tcPr>
          <w:p>
            <w:pPr>
              <w:pStyle w:val="10"/>
              <w:keepNext w:val="0"/>
              <w:keepLines w:val="0"/>
              <w:pageBreakBefore w:val="0"/>
              <w:widowControl w:val="0"/>
              <w:kinsoku/>
              <w:wordWrap/>
              <w:overflowPunct w:val="0"/>
              <w:topLinePunct w:val="0"/>
              <w:bidi w:val="0"/>
              <w:spacing w:before="40" w:line="216" w:lineRule="auto"/>
              <w:ind w:left="1101"/>
              <w:jc w:val="both"/>
            </w:pPr>
            <w:r>
              <w:rPr>
                <w:spacing w:val="-2"/>
              </w:rPr>
              <w:t>农村自来水普及率</w:t>
            </w:r>
          </w:p>
        </w:tc>
        <w:tc>
          <w:tcPr>
            <w:tcW w:w="867" w:type="dxa"/>
            <w:vAlign w:val="top"/>
          </w:tcPr>
          <w:p>
            <w:pPr>
              <w:pStyle w:val="10"/>
              <w:keepNext w:val="0"/>
              <w:keepLines w:val="0"/>
              <w:pageBreakBefore w:val="0"/>
              <w:widowControl w:val="0"/>
              <w:kinsoku/>
              <w:wordWrap/>
              <w:overflowPunct w:val="0"/>
              <w:topLinePunct w:val="0"/>
              <w:bidi w:val="0"/>
              <w:spacing w:before="38" w:line="235" w:lineRule="auto"/>
              <w:ind w:left="353"/>
              <w:jc w:val="both"/>
            </w:pPr>
            <w:r>
              <w:t>%</w:t>
            </w:r>
          </w:p>
        </w:tc>
        <w:tc>
          <w:tcPr>
            <w:tcW w:w="1371" w:type="dxa"/>
            <w:vAlign w:val="top"/>
          </w:tcPr>
          <w:p>
            <w:pPr>
              <w:pStyle w:val="10"/>
              <w:keepNext w:val="0"/>
              <w:keepLines w:val="0"/>
              <w:pageBreakBefore w:val="0"/>
              <w:widowControl w:val="0"/>
              <w:kinsoku/>
              <w:wordWrap/>
              <w:overflowPunct w:val="0"/>
              <w:topLinePunct w:val="0"/>
              <w:bidi w:val="0"/>
              <w:spacing w:before="97" w:line="180" w:lineRule="auto"/>
              <w:ind w:left="574"/>
              <w:jc w:val="both"/>
            </w:pPr>
            <w:r>
              <w:rPr>
                <w:spacing w:val="-5"/>
              </w:rPr>
              <w:t>98</w:t>
            </w:r>
          </w:p>
        </w:tc>
        <w:tc>
          <w:tcPr>
            <w:tcW w:w="1126" w:type="dxa"/>
            <w:vAlign w:val="top"/>
          </w:tcPr>
          <w:p>
            <w:pPr>
              <w:pStyle w:val="10"/>
              <w:keepNext w:val="0"/>
              <w:keepLines w:val="0"/>
              <w:pageBreakBefore w:val="0"/>
              <w:widowControl w:val="0"/>
              <w:kinsoku/>
              <w:wordWrap/>
              <w:overflowPunct w:val="0"/>
              <w:topLinePunct w:val="0"/>
              <w:bidi w:val="0"/>
              <w:spacing w:before="96" w:line="181" w:lineRule="auto"/>
              <w:ind w:left="407"/>
              <w:jc w:val="both"/>
            </w:pPr>
            <w:r>
              <w:rPr>
                <w:spacing w:val="-9"/>
              </w:rPr>
              <w:t>100</w:t>
            </w:r>
          </w:p>
        </w:tc>
        <w:tc>
          <w:tcPr>
            <w:tcW w:w="1014" w:type="dxa"/>
            <w:vAlign w:val="top"/>
          </w:tcPr>
          <w:p>
            <w:pPr>
              <w:pStyle w:val="10"/>
              <w:keepNext w:val="0"/>
              <w:keepLines w:val="0"/>
              <w:pageBreakBefore w:val="0"/>
              <w:widowControl w:val="0"/>
              <w:kinsoku/>
              <w:wordWrap/>
              <w:overflowPunct w:val="0"/>
              <w:topLinePunct w:val="0"/>
              <w:bidi w:val="0"/>
              <w:spacing w:before="56"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26" w:type="dxa"/>
            <w:vMerge w:val="restart"/>
            <w:tcBorders>
              <w:bottom w:val="nil"/>
            </w:tcBorders>
            <w:textDirection w:val="tbRlV"/>
            <w:vAlign w:val="top"/>
          </w:tcPr>
          <w:p>
            <w:pPr>
              <w:pStyle w:val="10"/>
              <w:keepNext w:val="0"/>
              <w:keepLines w:val="0"/>
              <w:pageBreakBefore w:val="0"/>
              <w:widowControl w:val="0"/>
              <w:kinsoku/>
              <w:wordWrap/>
              <w:overflowPunct w:val="0"/>
              <w:topLinePunct w:val="0"/>
              <w:bidi w:val="0"/>
              <w:spacing w:before="189" w:line="211" w:lineRule="auto"/>
              <w:ind w:left="612"/>
              <w:jc w:val="both"/>
            </w:pPr>
            <w:r>
              <w:rPr>
                <w:spacing w:val="53"/>
              </w:rPr>
              <w:t>宜居宜业</w:t>
            </w: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25</w:t>
            </w:r>
          </w:p>
        </w:tc>
        <w:tc>
          <w:tcPr>
            <w:tcW w:w="4002" w:type="dxa"/>
            <w:vAlign w:val="top"/>
          </w:tcPr>
          <w:p>
            <w:pPr>
              <w:pStyle w:val="10"/>
              <w:keepNext w:val="0"/>
              <w:keepLines w:val="0"/>
              <w:pageBreakBefore w:val="0"/>
              <w:widowControl w:val="0"/>
              <w:kinsoku/>
              <w:wordWrap/>
              <w:overflowPunct w:val="0"/>
              <w:topLinePunct w:val="0"/>
              <w:bidi w:val="0"/>
              <w:spacing w:before="38" w:line="223" w:lineRule="auto"/>
              <w:ind w:left="1768" w:right="195" w:hanging="1555"/>
              <w:jc w:val="both"/>
            </w:pPr>
            <w:r>
              <w:rPr>
                <w:spacing w:val="-1"/>
              </w:rPr>
              <w:t>农村常驻居民人均可支配收入年均</w:t>
            </w:r>
            <w:r>
              <w:rPr>
                <w:spacing w:val="-4"/>
              </w:rPr>
              <w:t>增长</w:t>
            </w:r>
          </w:p>
        </w:tc>
        <w:tc>
          <w:tcPr>
            <w:tcW w:w="867" w:type="dxa"/>
            <w:vAlign w:val="top"/>
          </w:tcPr>
          <w:p>
            <w:pPr>
              <w:pStyle w:val="10"/>
              <w:keepNext w:val="0"/>
              <w:keepLines w:val="0"/>
              <w:pageBreakBefore w:val="0"/>
              <w:widowControl w:val="0"/>
              <w:kinsoku/>
              <w:wordWrap/>
              <w:overflowPunct w:val="0"/>
              <w:topLinePunct w:val="0"/>
              <w:bidi w:val="0"/>
              <w:spacing w:before="193" w:line="241" w:lineRule="auto"/>
              <w:ind w:left="353"/>
              <w:jc w:val="both"/>
            </w:pPr>
            <w:r>
              <w:t>%</w:t>
            </w:r>
          </w:p>
        </w:tc>
        <w:tc>
          <w:tcPr>
            <w:tcW w:w="1371" w:type="dxa"/>
            <w:vAlign w:val="top"/>
          </w:tcPr>
          <w:p>
            <w:pPr>
              <w:keepNext w:val="0"/>
              <w:keepLines w:val="0"/>
              <w:pageBreakBefore w:val="0"/>
              <w:widowControl w:val="0"/>
              <w:kinsoku/>
              <w:wordWrap/>
              <w:overflowPunct w:val="0"/>
              <w:topLinePunct w:val="0"/>
              <w:bidi w:val="0"/>
              <w:jc w:val="both"/>
              <w:rPr>
                <w:rFonts w:ascii="Arial"/>
                <w:sz w:val="21"/>
              </w:rPr>
            </w:pPr>
          </w:p>
        </w:tc>
        <w:tc>
          <w:tcPr>
            <w:tcW w:w="1126" w:type="dxa"/>
            <w:vAlign w:val="top"/>
          </w:tcPr>
          <w:p>
            <w:pPr>
              <w:pStyle w:val="10"/>
              <w:keepNext w:val="0"/>
              <w:keepLines w:val="0"/>
              <w:pageBreakBefore w:val="0"/>
              <w:widowControl w:val="0"/>
              <w:kinsoku/>
              <w:wordWrap/>
              <w:overflowPunct w:val="0"/>
              <w:topLinePunct w:val="0"/>
              <w:bidi w:val="0"/>
              <w:spacing w:before="236" w:line="179" w:lineRule="auto"/>
              <w:ind w:left="515"/>
              <w:jc w:val="both"/>
            </w:pPr>
            <w:r>
              <w:t>7</w:t>
            </w:r>
          </w:p>
        </w:tc>
        <w:tc>
          <w:tcPr>
            <w:tcW w:w="1014" w:type="dxa"/>
            <w:vAlign w:val="top"/>
          </w:tcPr>
          <w:p>
            <w:pPr>
              <w:pStyle w:val="10"/>
              <w:keepNext w:val="0"/>
              <w:keepLines w:val="0"/>
              <w:pageBreakBefore w:val="0"/>
              <w:widowControl w:val="0"/>
              <w:kinsoku/>
              <w:wordWrap/>
              <w:overflowPunct w:val="0"/>
              <w:topLinePunct w:val="0"/>
              <w:bidi w:val="0"/>
              <w:spacing w:before="194" w:line="215"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26</w:t>
            </w:r>
          </w:p>
        </w:tc>
        <w:tc>
          <w:tcPr>
            <w:tcW w:w="4002" w:type="dxa"/>
            <w:vAlign w:val="top"/>
          </w:tcPr>
          <w:p>
            <w:pPr>
              <w:pStyle w:val="10"/>
              <w:keepNext w:val="0"/>
              <w:keepLines w:val="0"/>
              <w:pageBreakBefore w:val="0"/>
              <w:widowControl w:val="0"/>
              <w:kinsoku/>
              <w:wordWrap/>
              <w:overflowPunct w:val="0"/>
              <w:topLinePunct w:val="0"/>
              <w:bidi w:val="0"/>
              <w:spacing w:before="125" w:line="216" w:lineRule="auto"/>
              <w:ind w:left="377"/>
              <w:jc w:val="both"/>
            </w:pPr>
            <w:r>
              <w:rPr>
                <w:spacing w:val="-1"/>
              </w:rPr>
              <w:t>城乡居民基本养老保险待遇水平</w:t>
            </w:r>
          </w:p>
        </w:tc>
        <w:tc>
          <w:tcPr>
            <w:tcW w:w="867" w:type="dxa"/>
            <w:vAlign w:val="top"/>
          </w:tcPr>
          <w:p>
            <w:pPr>
              <w:pStyle w:val="10"/>
              <w:keepNext w:val="0"/>
              <w:keepLines w:val="0"/>
              <w:pageBreakBefore w:val="0"/>
              <w:widowControl w:val="0"/>
              <w:kinsoku/>
              <w:wordWrap/>
              <w:overflowPunct w:val="0"/>
              <w:topLinePunct w:val="0"/>
              <w:bidi w:val="0"/>
              <w:spacing w:before="124" w:line="223" w:lineRule="auto"/>
              <w:ind w:left="129"/>
              <w:jc w:val="both"/>
            </w:pPr>
            <w:r>
              <w:rPr>
                <w:spacing w:val="-6"/>
              </w:rPr>
              <w:t>元/月</w:t>
            </w:r>
          </w:p>
        </w:tc>
        <w:tc>
          <w:tcPr>
            <w:tcW w:w="1371" w:type="dxa"/>
            <w:vAlign w:val="top"/>
          </w:tcPr>
          <w:p>
            <w:pPr>
              <w:keepNext w:val="0"/>
              <w:keepLines w:val="0"/>
              <w:pageBreakBefore w:val="0"/>
              <w:widowControl w:val="0"/>
              <w:kinsoku/>
              <w:wordWrap/>
              <w:overflowPunct w:val="0"/>
              <w:topLinePunct w:val="0"/>
              <w:bidi w:val="0"/>
              <w:jc w:val="both"/>
              <w:rPr>
                <w:rFonts w:ascii="Arial"/>
                <w:sz w:val="21"/>
              </w:rPr>
            </w:pPr>
          </w:p>
        </w:tc>
        <w:tc>
          <w:tcPr>
            <w:tcW w:w="1126" w:type="dxa"/>
            <w:vAlign w:val="top"/>
          </w:tcPr>
          <w:p>
            <w:pPr>
              <w:pStyle w:val="10"/>
              <w:keepNext w:val="0"/>
              <w:keepLines w:val="0"/>
              <w:pageBreakBefore w:val="0"/>
              <w:widowControl w:val="0"/>
              <w:kinsoku/>
              <w:wordWrap/>
              <w:overflowPunct w:val="0"/>
              <w:topLinePunct w:val="0"/>
              <w:bidi w:val="0"/>
              <w:spacing w:before="43" w:line="221" w:lineRule="auto"/>
              <w:ind w:left="210" w:right="199" w:hanging="1"/>
              <w:jc w:val="both"/>
              <w:rPr>
                <w:sz w:val="18"/>
                <w:szCs w:val="18"/>
              </w:rPr>
            </w:pPr>
            <w:r>
              <w:rPr>
                <w:spacing w:val="-2"/>
                <w:sz w:val="18"/>
                <w:szCs w:val="18"/>
              </w:rPr>
              <w:t>按四平市</w:t>
            </w:r>
            <w:r>
              <w:rPr>
                <w:spacing w:val="-3"/>
                <w:sz w:val="18"/>
                <w:szCs w:val="18"/>
              </w:rPr>
              <w:t>指标确定</w:t>
            </w:r>
          </w:p>
        </w:tc>
        <w:tc>
          <w:tcPr>
            <w:tcW w:w="1014" w:type="dxa"/>
            <w:vAlign w:val="top"/>
          </w:tcPr>
          <w:p>
            <w:pPr>
              <w:pStyle w:val="10"/>
              <w:keepNext w:val="0"/>
              <w:keepLines w:val="0"/>
              <w:pageBreakBefore w:val="0"/>
              <w:widowControl w:val="0"/>
              <w:kinsoku/>
              <w:wordWrap/>
              <w:overflowPunct w:val="0"/>
              <w:topLinePunct w:val="0"/>
              <w:bidi w:val="0"/>
              <w:spacing w:before="125" w:line="215" w:lineRule="auto"/>
              <w:ind w:left="166"/>
              <w:jc w:val="both"/>
            </w:pPr>
            <w:r>
              <w:rPr>
                <w:spacing w:val="-8"/>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27</w:t>
            </w:r>
          </w:p>
        </w:tc>
        <w:tc>
          <w:tcPr>
            <w:tcW w:w="4002" w:type="dxa"/>
            <w:vAlign w:val="top"/>
          </w:tcPr>
          <w:p>
            <w:pPr>
              <w:pStyle w:val="10"/>
              <w:keepNext w:val="0"/>
              <w:keepLines w:val="0"/>
              <w:pageBreakBefore w:val="0"/>
              <w:widowControl w:val="0"/>
              <w:kinsoku/>
              <w:wordWrap/>
              <w:overflowPunct w:val="0"/>
              <w:topLinePunct w:val="0"/>
              <w:bidi w:val="0"/>
              <w:spacing w:before="41" w:line="204" w:lineRule="auto"/>
              <w:ind w:left="93"/>
              <w:jc w:val="both"/>
            </w:pPr>
            <w:r>
              <w:rPr>
                <w:spacing w:val="2"/>
              </w:rPr>
              <w:t>农村居民教育文化娱乐消费支出占比</w:t>
            </w:r>
          </w:p>
        </w:tc>
        <w:tc>
          <w:tcPr>
            <w:tcW w:w="867" w:type="dxa"/>
            <w:vAlign w:val="top"/>
          </w:tcPr>
          <w:p>
            <w:pPr>
              <w:pStyle w:val="10"/>
              <w:keepNext w:val="0"/>
              <w:keepLines w:val="0"/>
              <w:pageBreakBefore w:val="0"/>
              <w:widowControl w:val="0"/>
              <w:kinsoku/>
              <w:wordWrap/>
              <w:overflowPunct w:val="0"/>
              <w:topLinePunct w:val="0"/>
              <w:bidi w:val="0"/>
              <w:spacing w:before="41" w:line="204" w:lineRule="auto"/>
              <w:ind w:left="353"/>
              <w:jc w:val="both"/>
            </w:pPr>
            <w:r>
              <w:t>%</w:t>
            </w:r>
          </w:p>
        </w:tc>
        <w:tc>
          <w:tcPr>
            <w:tcW w:w="1371" w:type="dxa"/>
            <w:vAlign w:val="top"/>
          </w:tcPr>
          <w:p>
            <w:pPr>
              <w:keepNext w:val="0"/>
              <w:keepLines w:val="0"/>
              <w:pageBreakBefore w:val="0"/>
              <w:widowControl w:val="0"/>
              <w:kinsoku/>
              <w:wordWrap/>
              <w:overflowPunct w:val="0"/>
              <w:topLinePunct w:val="0"/>
              <w:bidi w:val="0"/>
              <w:jc w:val="both"/>
              <w:rPr>
                <w:rFonts w:ascii="Arial"/>
                <w:sz w:val="21"/>
              </w:rPr>
            </w:pPr>
          </w:p>
        </w:tc>
        <w:tc>
          <w:tcPr>
            <w:tcW w:w="1126" w:type="dxa"/>
            <w:vAlign w:val="top"/>
          </w:tcPr>
          <w:p>
            <w:pPr>
              <w:pStyle w:val="10"/>
              <w:keepNext w:val="0"/>
              <w:keepLines w:val="0"/>
              <w:pageBreakBefore w:val="0"/>
              <w:widowControl w:val="0"/>
              <w:kinsoku/>
              <w:wordWrap/>
              <w:overflowPunct w:val="0"/>
              <w:topLinePunct w:val="0"/>
              <w:bidi w:val="0"/>
              <w:spacing w:before="82" w:line="173" w:lineRule="auto"/>
              <w:ind w:left="512"/>
              <w:jc w:val="both"/>
            </w:pPr>
            <w:r>
              <w:t>6</w:t>
            </w:r>
          </w:p>
        </w:tc>
        <w:tc>
          <w:tcPr>
            <w:tcW w:w="1014" w:type="dxa"/>
            <w:vAlign w:val="top"/>
          </w:tcPr>
          <w:p>
            <w:pPr>
              <w:pStyle w:val="10"/>
              <w:keepNext w:val="0"/>
              <w:keepLines w:val="0"/>
              <w:pageBreakBefore w:val="0"/>
              <w:widowControl w:val="0"/>
              <w:kinsoku/>
              <w:wordWrap/>
              <w:overflowPunct w:val="0"/>
              <w:topLinePunct w:val="0"/>
              <w:bidi w:val="0"/>
              <w:spacing w:before="41" w:line="204"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26" w:type="dxa"/>
            <w:vMerge w:val="continue"/>
            <w:tcBorders>
              <w:top w:val="nil"/>
              <w:bottom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28</w:t>
            </w:r>
          </w:p>
        </w:tc>
        <w:tc>
          <w:tcPr>
            <w:tcW w:w="4002" w:type="dxa"/>
            <w:vAlign w:val="top"/>
          </w:tcPr>
          <w:p>
            <w:pPr>
              <w:pStyle w:val="10"/>
              <w:keepNext w:val="0"/>
              <w:keepLines w:val="0"/>
              <w:pageBreakBefore w:val="0"/>
              <w:widowControl w:val="0"/>
              <w:kinsoku/>
              <w:wordWrap/>
              <w:overflowPunct w:val="0"/>
              <w:topLinePunct w:val="0"/>
              <w:bidi w:val="0"/>
              <w:spacing w:before="41" w:line="204" w:lineRule="auto"/>
              <w:ind w:left="245"/>
              <w:jc w:val="both"/>
            </w:pPr>
            <w:r>
              <w:rPr>
                <w:spacing w:val="-3"/>
              </w:rPr>
              <w:t>乡村医生中执业（助理）医师比例</w:t>
            </w:r>
          </w:p>
        </w:tc>
        <w:tc>
          <w:tcPr>
            <w:tcW w:w="867" w:type="dxa"/>
            <w:vAlign w:val="top"/>
          </w:tcPr>
          <w:p>
            <w:pPr>
              <w:pStyle w:val="10"/>
              <w:keepNext w:val="0"/>
              <w:keepLines w:val="0"/>
              <w:pageBreakBefore w:val="0"/>
              <w:widowControl w:val="0"/>
              <w:kinsoku/>
              <w:wordWrap/>
              <w:overflowPunct w:val="0"/>
              <w:topLinePunct w:val="0"/>
              <w:bidi w:val="0"/>
              <w:spacing w:before="40" w:line="205" w:lineRule="auto"/>
              <w:ind w:left="353"/>
              <w:jc w:val="both"/>
            </w:pPr>
            <w:r>
              <w:t>%</w:t>
            </w:r>
          </w:p>
        </w:tc>
        <w:tc>
          <w:tcPr>
            <w:tcW w:w="1371" w:type="dxa"/>
            <w:vAlign w:val="top"/>
          </w:tcPr>
          <w:p>
            <w:pPr>
              <w:pStyle w:val="10"/>
              <w:keepNext w:val="0"/>
              <w:keepLines w:val="0"/>
              <w:pageBreakBefore w:val="0"/>
              <w:widowControl w:val="0"/>
              <w:kinsoku/>
              <w:wordWrap/>
              <w:overflowPunct w:val="0"/>
              <w:topLinePunct w:val="0"/>
              <w:bidi w:val="0"/>
              <w:spacing w:before="80" w:line="174" w:lineRule="auto"/>
              <w:ind w:left="590"/>
              <w:jc w:val="both"/>
            </w:pPr>
            <w:r>
              <w:rPr>
                <w:spacing w:val="-14"/>
              </w:rPr>
              <w:t>15</w:t>
            </w:r>
          </w:p>
        </w:tc>
        <w:tc>
          <w:tcPr>
            <w:tcW w:w="1126" w:type="dxa"/>
            <w:vAlign w:val="top"/>
          </w:tcPr>
          <w:p>
            <w:pPr>
              <w:pStyle w:val="10"/>
              <w:keepNext w:val="0"/>
              <w:keepLines w:val="0"/>
              <w:pageBreakBefore w:val="0"/>
              <w:widowControl w:val="0"/>
              <w:kinsoku/>
              <w:wordWrap/>
              <w:overflowPunct w:val="0"/>
              <w:topLinePunct w:val="0"/>
              <w:bidi w:val="0"/>
              <w:spacing w:before="82" w:line="173" w:lineRule="auto"/>
              <w:ind w:left="449"/>
              <w:jc w:val="both"/>
            </w:pPr>
            <w:r>
              <w:rPr>
                <w:spacing w:val="-4"/>
              </w:rPr>
              <w:t>45</w:t>
            </w:r>
          </w:p>
        </w:tc>
        <w:tc>
          <w:tcPr>
            <w:tcW w:w="1014" w:type="dxa"/>
            <w:vAlign w:val="top"/>
          </w:tcPr>
          <w:p>
            <w:pPr>
              <w:pStyle w:val="10"/>
              <w:keepNext w:val="0"/>
              <w:keepLines w:val="0"/>
              <w:pageBreakBefore w:val="0"/>
              <w:widowControl w:val="0"/>
              <w:kinsoku/>
              <w:wordWrap/>
              <w:overflowPunct w:val="0"/>
              <w:topLinePunct w:val="0"/>
              <w:bidi w:val="0"/>
              <w:spacing w:before="41" w:line="204" w:lineRule="auto"/>
              <w:ind w:left="162"/>
              <w:jc w:val="both"/>
            </w:pPr>
            <w:r>
              <w:rPr>
                <w:spacing w:val="-7"/>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26" w:type="dxa"/>
            <w:vMerge w:val="continue"/>
            <w:tcBorders>
              <w:top w:val="nil"/>
            </w:tcBorders>
            <w:textDirection w:val="tbRlV"/>
            <w:vAlign w:val="top"/>
          </w:tcPr>
          <w:p>
            <w:pPr>
              <w:keepNext w:val="0"/>
              <w:keepLines w:val="0"/>
              <w:pageBreakBefore w:val="0"/>
              <w:widowControl w:val="0"/>
              <w:kinsoku/>
              <w:wordWrap/>
              <w:overflowPunct w:val="0"/>
              <w:topLinePunct w:val="0"/>
              <w:bidi w:val="0"/>
              <w:jc w:val="both"/>
              <w:rPr>
                <w:rFonts w:ascii="Arial"/>
                <w:sz w:val="21"/>
              </w:rPr>
            </w:pPr>
          </w:p>
        </w:tc>
        <w:tc>
          <w:tcPr>
            <w:tcW w:w="457" w:type="dxa"/>
            <w:vAlign w:val="top"/>
          </w:tcPr>
          <w:p>
            <w:pPr>
              <w:pStyle w:val="10"/>
              <w:keepNext w:val="0"/>
              <w:keepLines w:val="0"/>
              <w:pageBreakBefore w:val="0"/>
              <w:widowControl w:val="0"/>
              <w:kinsoku/>
              <w:wordWrap/>
              <w:overflowPunct w:val="0"/>
              <w:topLinePunct w:val="0"/>
              <w:bidi w:val="0"/>
              <w:spacing w:before="130" w:line="180" w:lineRule="auto"/>
              <w:jc w:val="center"/>
            </w:pPr>
            <w:r>
              <w:t>29</w:t>
            </w:r>
          </w:p>
        </w:tc>
        <w:tc>
          <w:tcPr>
            <w:tcW w:w="4002" w:type="dxa"/>
            <w:vAlign w:val="top"/>
          </w:tcPr>
          <w:p>
            <w:pPr>
              <w:pStyle w:val="10"/>
              <w:keepNext w:val="0"/>
              <w:keepLines w:val="0"/>
              <w:pageBreakBefore w:val="0"/>
              <w:widowControl w:val="0"/>
              <w:kinsoku/>
              <w:wordWrap/>
              <w:overflowPunct w:val="0"/>
              <w:topLinePunct w:val="0"/>
              <w:bidi w:val="0"/>
              <w:spacing w:before="40" w:line="224" w:lineRule="auto"/>
              <w:ind w:left="1857" w:right="75" w:hanging="1764"/>
              <w:jc w:val="both"/>
            </w:pPr>
            <w:r>
              <w:rPr>
                <w:spacing w:val="-1"/>
              </w:rPr>
              <w:t>农村义务教育学校教师本科以上学历</w:t>
            </w:r>
            <w:r>
              <w:rPr>
                <w:spacing w:val="-23"/>
              </w:rPr>
              <w:t>比例</w:t>
            </w:r>
          </w:p>
        </w:tc>
        <w:tc>
          <w:tcPr>
            <w:tcW w:w="867" w:type="dxa"/>
            <w:vAlign w:val="top"/>
          </w:tcPr>
          <w:p>
            <w:pPr>
              <w:pStyle w:val="10"/>
              <w:keepNext w:val="0"/>
              <w:keepLines w:val="0"/>
              <w:pageBreakBefore w:val="0"/>
              <w:widowControl w:val="0"/>
              <w:kinsoku/>
              <w:wordWrap/>
              <w:overflowPunct w:val="0"/>
              <w:topLinePunct w:val="0"/>
              <w:bidi w:val="0"/>
              <w:spacing w:before="40" w:line="241" w:lineRule="auto"/>
              <w:ind w:left="353"/>
              <w:jc w:val="both"/>
            </w:pPr>
            <w:r>
              <w:t>%</w:t>
            </w:r>
          </w:p>
        </w:tc>
        <w:tc>
          <w:tcPr>
            <w:tcW w:w="1371" w:type="dxa"/>
            <w:vAlign w:val="top"/>
          </w:tcPr>
          <w:p>
            <w:pPr>
              <w:keepNext w:val="0"/>
              <w:keepLines w:val="0"/>
              <w:pageBreakBefore w:val="0"/>
              <w:widowControl w:val="0"/>
              <w:kinsoku/>
              <w:wordWrap/>
              <w:overflowPunct w:val="0"/>
              <w:topLinePunct w:val="0"/>
              <w:bidi w:val="0"/>
              <w:jc w:val="both"/>
              <w:rPr>
                <w:rFonts w:ascii="Arial"/>
                <w:sz w:val="21"/>
              </w:rPr>
            </w:pPr>
          </w:p>
        </w:tc>
        <w:tc>
          <w:tcPr>
            <w:tcW w:w="1126" w:type="dxa"/>
            <w:vAlign w:val="top"/>
          </w:tcPr>
          <w:p>
            <w:pPr>
              <w:pStyle w:val="10"/>
              <w:keepNext w:val="0"/>
              <w:keepLines w:val="0"/>
              <w:pageBreakBefore w:val="0"/>
              <w:widowControl w:val="0"/>
              <w:kinsoku/>
              <w:wordWrap/>
              <w:overflowPunct w:val="0"/>
              <w:topLinePunct w:val="0"/>
              <w:bidi w:val="0"/>
              <w:spacing w:before="238" w:line="180" w:lineRule="auto"/>
              <w:ind w:left="455"/>
              <w:jc w:val="both"/>
            </w:pPr>
            <w:r>
              <w:rPr>
                <w:spacing w:val="-8"/>
              </w:rPr>
              <w:t>70</w:t>
            </w:r>
          </w:p>
        </w:tc>
        <w:tc>
          <w:tcPr>
            <w:tcW w:w="1014" w:type="dxa"/>
            <w:vAlign w:val="top"/>
          </w:tcPr>
          <w:p>
            <w:pPr>
              <w:pStyle w:val="10"/>
              <w:keepNext w:val="0"/>
              <w:keepLines w:val="0"/>
              <w:pageBreakBefore w:val="0"/>
              <w:widowControl w:val="0"/>
              <w:kinsoku/>
              <w:wordWrap/>
              <w:overflowPunct w:val="0"/>
              <w:topLinePunct w:val="0"/>
              <w:bidi w:val="0"/>
              <w:spacing w:before="197" w:line="215" w:lineRule="auto"/>
              <w:ind w:left="162"/>
              <w:jc w:val="both"/>
            </w:pPr>
            <w:r>
              <w:rPr>
                <w:spacing w:val="-7"/>
              </w:rPr>
              <w:t>预期性</w:t>
            </w:r>
          </w:p>
        </w:tc>
      </w:tr>
    </w:tbl>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0"/>
        <w:rPr>
          <w:rFonts w:ascii="黑体" w:hAnsi="黑体" w:eastAsia="黑体" w:cs="黑体"/>
          <w:spacing w:val="0"/>
          <w:sz w:val="32"/>
          <w:szCs w:val="32"/>
        </w:rPr>
      </w:pPr>
      <w:bookmarkStart w:id="27" w:name="bookmark19"/>
      <w:bookmarkEnd w:id="27"/>
      <w:bookmarkStart w:id="28" w:name="_Toc7179"/>
      <w:r>
        <w:rPr>
          <w:rFonts w:ascii="黑体" w:hAnsi="黑体" w:eastAsia="黑体" w:cs="黑体"/>
          <w:spacing w:val="0"/>
          <w:sz w:val="32"/>
          <w:szCs w:val="32"/>
        </w:rPr>
        <w:t>三、空间布局</w:t>
      </w:r>
      <w:bookmarkEnd w:id="28"/>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56" w:firstLineChars="200"/>
        <w:jc w:val="both"/>
        <w:textAlignment w:val="baseline"/>
        <w:rPr>
          <w:rFonts w:ascii="仿宋" w:hAnsi="仿宋" w:eastAsia="仿宋" w:cs="仿宋"/>
          <w:sz w:val="31"/>
          <w:szCs w:val="31"/>
        </w:rPr>
      </w:pPr>
      <w:r>
        <w:rPr>
          <w:rFonts w:ascii="仿宋" w:hAnsi="仿宋" w:eastAsia="仿宋" w:cs="仿宋"/>
          <w:spacing w:val="9"/>
          <w:sz w:val="31"/>
          <w:szCs w:val="31"/>
        </w:rPr>
        <w:t>立足双辽市农业资源特色、产业基础、生态承载</w:t>
      </w:r>
      <w:r>
        <w:rPr>
          <w:rFonts w:ascii="仿宋" w:hAnsi="仿宋" w:eastAsia="仿宋" w:cs="仿宋"/>
          <w:spacing w:val="8"/>
          <w:sz w:val="31"/>
          <w:szCs w:val="31"/>
        </w:rPr>
        <w:t>力、铁路</w:t>
      </w:r>
      <w:r>
        <w:rPr>
          <w:rFonts w:ascii="仿宋" w:hAnsi="仿宋" w:eastAsia="仿宋" w:cs="仿宋"/>
          <w:spacing w:val="9"/>
          <w:sz w:val="31"/>
          <w:szCs w:val="31"/>
        </w:rPr>
        <w:t>及公路等交通条件，物流、信息流、人流、资金流等经济网线连接情况，科学划定粮食生产功能区、重要农产品生产保护区和特色农产品优势区，全面优化农业农村产业空间布局，实现</w:t>
      </w:r>
      <w:r>
        <w:rPr>
          <w:rFonts w:ascii="仿宋" w:hAnsi="仿宋" w:eastAsia="仿宋" w:cs="仿宋"/>
          <w:spacing w:val="5"/>
          <w:sz w:val="31"/>
          <w:szCs w:val="31"/>
        </w:rPr>
        <w:t>空间布局合理、区域功能连通，打造全域农业“</w:t>
      </w:r>
      <w:r>
        <w:rPr>
          <w:rFonts w:ascii="仿宋" w:hAnsi="仿宋" w:eastAsia="仿宋" w:cs="仿宋"/>
          <w:b/>
          <w:bCs/>
          <w:spacing w:val="4"/>
          <w:sz w:val="31"/>
          <w:szCs w:val="31"/>
        </w:rPr>
        <w:t>一核、三区、</w:t>
      </w:r>
      <w:r>
        <w:rPr>
          <w:rFonts w:ascii="仿宋" w:hAnsi="仿宋" w:eastAsia="仿宋" w:cs="仿宋"/>
          <w:b/>
          <w:bCs/>
          <w:spacing w:val="2"/>
          <w:sz w:val="31"/>
          <w:szCs w:val="31"/>
        </w:rPr>
        <w:t>六带、多基地（园区）</w:t>
      </w:r>
      <w:r>
        <w:rPr>
          <w:rFonts w:ascii="仿宋" w:hAnsi="仿宋" w:eastAsia="仿宋" w:cs="仿宋"/>
          <w:spacing w:val="2"/>
          <w:sz w:val="31"/>
          <w:szCs w:val="31"/>
        </w:rPr>
        <w:t>”空间布局，形成“一核统领、三区协</w:t>
      </w:r>
      <w:r>
        <w:rPr>
          <w:rFonts w:ascii="仿宋" w:hAnsi="仿宋" w:eastAsia="仿宋" w:cs="仿宋"/>
          <w:spacing w:val="7"/>
          <w:sz w:val="31"/>
          <w:szCs w:val="31"/>
        </w:rPr>
        <w:t>同、六带拉动、多基地支撑”的双辽农业全域发展格局。</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54" w:firstLineChars="200"/>
        <w:jc w:val="both"/>
        <w:textAlignment w:val="baseline"/>
        <w:rPr>
          <w:rFonts w:ascii="仿宋" w:hAnsi="仿宋" w:eastAsia="仿宋" w:cs="仿宋"/>
          <w:sz w:val="31"/>
          <w:szCs w:val="31"/>
        </w:rPr>
      </w:pPr>
      <w:r>
        <w:rPr>
          <w:rFonts w:ascii="仿宋" w:hAnsi="仿宋" w:eastAsia="仿宋" w:cs="仿宋"/>
          <w:b/>
          <w:bCs/>
          <w:spacing w:val="8"/>
          <w:sz w:val="31"/>
          <w:szCs w:val="31"/>
        </w:rPr>
        <w:t>一核：</w:t>
      </w:r>
      <w:r>
        <w:rPr>
          <w:rFonts w:ascii="仿宋" w:hAnsi="仿宋" w:eastAsia="仿宋" w:cs="仿宋"/>
          <w:spacing w:val="8"/>
          <w:sz w:val="31"/>
          <w:szCs w:val="31"/>
        </w:rPr>
        <w:t>是双辽振兴发展的核心增长极，是全市政治经济文</w:t>
      </w:r>
      <w:r>
        <w:rPr>
          <w:rFonts w:ascii="仿宋" w:hAnsi="仿宋" w:eastAsia="仿宋" w:cs="仿宋"/>
          <w:spacing w:val="6"/>
          <w:sz w:val="31"/>
          <w:szCs w:val="31"/>
        </w:rPr>
        <w:t>化中心，是产业高度集聚、引领带动周边发展的重要区域</w:t>
      </w:r>
      <w:r>
        <w:rPr>
          <w:rFonts w:hint="eastAsia" w:ascii="仿宋" w:hAnsi="仿宋" w:eastAsia="仿宋" w:cs="仿宋"/>
          <w:spacing w:val="6"/>
          <w:sz w:val="31"/>
          <w:szCs w:val="31"/>
          <w:lang w:eastAsia="zh-CN"/>
        </w:rPr>
        <w:t>。</w:t>
      </w:r>
      <w:r>
        <w:rPr>
          <w:rFonts w:ascii="仿宋" w:hAnsi="仿宋" w:eastAsia="仿宋" w:cs="仿宋"/>
          <w:spacing w:val="6"/>
          <w:sz w:val="31"/>
          <w:szCs w:val="31"/>
        </w:rPr>
        <w:t>以</w:t>
      </w:r>
      <w:r>
        <w:rPr>
          <w:rFonts w:ascii="仿宋" w:hAnsi="仿宋" w:eastAsia="仿宋" w:cs="仿宋"/>
          <w:spacing w:val="8"/>
          <w:sz w:val="31"/>
          <w:szCs w:val="31"/>
        </w:rPr>
        <w:t>双辽市主城区5个街道及那木乡所辖区域为核心，打造成为现</w:t>
      </w:r>
      <w:r>
        <w:rPr>
          <w:rFonts w:ascii="仿宋" w:hAnsi="仿宋" w:eastAsia="仿宋" w:cs="仿宋"/>
          <w:spacing w:val="5"/>
          <w:sz w:val="31"/>
          <w:szCs w:val="31"/>
        </w:rPr>
        <w:t>代农业产业融合发展核心区，带动周边、辐射全域高质量发</w:t>
      </w:r>
      <w:r>
        <w:rPr>
          <w:rFonts w:ascii="仿宋" w:hAnsi="仿宋" w:eastAsia="仿宋" w:cs="仿宋"/>
          <w:spacing w:val="4"/>
          <w:sz w:val="31"/>
          <w:szCs w:val="31"/>
        </w:rPr>
        <w:t>展。</w:t>
      </w:r>
      <w:r>
        <w:rPr>
          <w:rFonts w:ascii="仿宋" w:hAnsi="仿宋" w:eastAsia="仿宋" w:cs="仿宋"/>
          <w:spacing w:val="10"/>
          <w:sz w:val="31"/>
          <w:szCs w:val="31"/>
        </w:rPr>
        <w:t>发挥资源要素优势，加快推进农产品加工、商贸物</w:t>
      </w:r>
      <w:r>
        <w:rPr>
          <w:rFonts w:ascii="仿宋" w:hAnsi="仿宋" w:eastAsia="仿宋" w:cs="仿宋"/>
          <w:spacing w:val="9"/>
          <w:sz w:val="31"/>
          <w:szCs w:val="31"/>
        </w:rPr>
        <w:t>流等产业发</w:t>
      </w:r>
      <w:r>
        <w:rPr>
          <w:rFonts w:ascii="仿宋" w:hAnsi="仿宋" w:eastAsia="仿宋" w:cs="仿宋"/>
          <w:spacing w:val="11"/>
          <w:sz w:val="31"/>
          <w:szCs w:val="31"/>
        </w:rPr>
        <w:t>展，精准打造一批棚膜经济产业基地、林果生产</w:t>
      </w:r>
      <w:r>
        <w:rPr>
          <w:rFonts w:ascii="仿宋" w:hAnsi="仿宋" w:eastAsia="仿宋" w:cs="仿宋"/>
          <w:spacing w:val="10"/>
          <w:sz w:val="31"/>
          <w:szCs w:val="31"/>
        </w:rPr>
        <w:t>示范基地等。</w:t>
      </w:r>
      <w:r>
        <w:rPr>
          <w:rFonts w:ascii="仿宋" w:hAnsi="仿宋" w:eastAsia="仿宋" w:cs="仿宋"/>
          <w:spacing w:val="5"/>
          <w:sz w:val="31"/>
          <w:szCs w:val="31"/>
        </w:rPr>
        <w:t>壮大规模总量，做大做长产业链条，推进三产融合示范区建</w:t>
      </w:r>
      <w:r>
        <w:rPr>
          <w:rFonts w:ascii="仿宋" w:hAnsi="仿宋" w:eastAsia="仿宋" w:cs="仿宋"/>
          <w:spacing w:val="4"/>
          <w:sz w:val="31"/>
          <w:szCs w:val="31"/>
        </w:rPr>
        <w:t>设，</w:t>
      </w:r>
      <w:r>
        <w:rPr>
          <w:rFonts w:ascii="仿宋" w:hAnsi="仿宋" w:eastAsia="仿宋" w:cs="仿宋"/>
          <w:spacing w:val="10"/>
          <w:sz w:val="31"/>
          <w:szCs w:val="31"/>
        </w:rPr>
        <w:t>提升发展质量，建设成为统领双辽现代农业高质量发</w:t>
      </w:r>
      <w:r>
        <w:rPr>
          <w:rFonts w:ascii="仿宋" w:hAnsi="仿宋" w:eastAsia="仿宋" w:cs="仿宋"/>
          <w:spacing w:val="9"/>
          <w:sz w:val="31"/>
          <w:szCs w:val="31"/>
        </w:rPr>
        <w:t>展核心引</w:t>
      </w:r>
      <w:r>
        <w:rPr>
          <w:rFonts w:ascii="仿宋" w:hAnsi="仿宋" w:eastAsia="仿宋" w:cs="仿宋"/>
          <w:spacing w:val="5"/>
          <w:sz w:val="31"/>
          <w:szCs w:val="31"/>
        </w:rPr>
        <w:t>领区。</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30" w:firstLineChars="200"/>
        <w:jc w:val="both"/>
        <w:textAlignment w:val="baseline"/>
        <w:rPr>
          <w:rFonts w:ascii="仿宋" w:hAnsi="仿宋" w:eastAsia="仿宋" w:cs="仿宋"/>
          <w:sz w:val="31"/>
          <w:szCs w:val="31"/>
        </w:rPr>
      </w:pPr>
      <w:r>
        <w:rPr>
          <w:rFonts w:ascii="仿宋" w:hAnsi="仿宋" w:eastAsia="仿宋" w:cs="仿宋"/>
          <w:b/>
          <w:bCs/>
          <w:spacing w:val="2"/>
          <w:sz w:val="31"/>
          <w:szCs w:val="31"/>
        </w:rPr>
        <w:t>三区：</w:t>
      </w:r>
      <w:r>
        <w:rPr>
          <w:rFonts w:ascii="仿宋" w:hAnsi="仿宋" w:eastAsia="仿宋" w:cs="仿宋"/>
          <w:spacing w:val="2"/>
          <w:sz w:val="31"/>
          <w:szCs w:val="31"/>
        </w:rPr>
        <w:t>重点打造“东南部生态农业发展区”“中西部高效</w:t>
      </w:r>
      <w:r>
        <w:rPr>
          <w:rFonts w:ascii="仿宋" w:hAnsi="仿宋" w:eastAsia="仿宋" w:cs="仿宋"/>
          <w:spacing w:val="5"/>
          <w:sz w:val="31"/>
          <w:szCs w:val="31"/>
        </w:rPr>
        <w:t>农业发展区”“北部特色农业发展区”。</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42" w:firstLineChars="200"/>
        <w:jc w:val="both"/>
        <w:textAlignment w:val="baseline"/>
        <w:rPr>
          <w:rFonts w:ascii="仿宋" w:hAnsi="仿宋" w:eastAsia="仿宋" w:cs="仿宋"/>
          <w:sz w:val="31"/>
          <w:szCs w:val="31"/>
        </w:rPr>
      </w:pPr>
      <w:r>
        <w:rPr>
          <w:rFonts w:ascii="仿宋" w:hAnsi="仿宋" w:eastAsia="仿宋" w:cs="仿宋"/>
          <w:b/>
          <w:bCs/>
          <w:spacing w:val="5"/>
          <w:sz w:val="31"/>
          <w:szCs w:val="31"/>
        </w:rPr>
        <w:t>东南部生态农业发展区</w:t>
      </w:r>
      <w:r>
        <w:rPr>
          <w:rFonts w:ascii="仿宋" w:hAnsi="仿宋" w:eastAsia="仿宋" w:cs="仿宋"/>
          <w:spacing w:val="5"/>
          <w:sz w:val="31"/>
          <w:szCs w:val="31"/>
        </w:rPr>
        <w:t>：以王奔镇、东明镇、柳条乡、新</w:t>
      </w:r>
      <w:r>
        <w:rPr>
          <w:rFonts w:ascii="仿宋" w:hAnsi="仿宋" w:eastAsia="仿宋" w:cs="仿宋"/>
          <w:spacing w:val="7"/>
          <w:sz w:val="31"/>
          <w:szCs w:val="31"/>
        </w:rPr>
        <w:t>立乡为主，建设“东南部生态农业发展区”。重点发展绿色水</w:t>
      </w:r>
      <w:r>
        <w:rPr>
          <w:rFonts w:ascii="仿宋" w:hAnsi="仿宋" w:eastAsia="仿宋" w:cs="仿宋"/>
          <w:spacing w:val="9"/>
          <w:sz w:val="31"/>
          <w:szCs w:val="31"/>
        </w:rPr>
        <w:t>稻和玉米。不断优化种植结构，科学调减玉米种植面积，逐步提高玉米单产和质量。依托独特的地理条件以及天然弱碱性水</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20" w:firstLineChars="200"/>
        <w:jc w:val="both"/>
        <w:textAlignment w:val="baseline"/>
        <w:rPr>
          <w:rFonts w:ascii="仿宋" w:hAnsi="仿宋" w:eastAsia="仿宋" w:cs="仿宋"/>
          <w:sz w:val="31"/>
          <w:szCs w:val="31"/>
        </w:rPr>
        <w:sectPr>
          <w:footerReference r:id="rId8" w:type="default"/>
          <w:pgSz w:w="11906" w:h="16839"/>
          <w:pgMar w:top="1417" w:right="1587" w:bottom="1417" w:left="1587" w:header="0" w:footer="109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56" w:firstLineChars="200"/>
        <w:jc w:val="both"/>
        <w:textAlignment w:val="baseline"/>
        <w:rPr>
          <w:rFonts w:ascii="仿宋" w:hAnsi="仿宋" w:eastAsia="仿宋" w:cs="仿宋"/>
          <w:sz w:val="31"/>
          <w:szCs w:val="31"/>
        </w:rPr>
      </w:pPr>
      <w:r>
        <w:rPr>
          <w:rFonts w:ascii="仿宋" w:hAnsi="仿宋" w:eastAsia="仿宋" w:cs="仿宋"/>
          <w:spacing w:val="9"/>
          <w:sz w:val="31"/>
          <w:szCs w:val="31"/>
        </w:rPr>
        <w:t>灌溉优势，发展绿色稻米，加强技术创新和推广，扩大优质水</w:t>
      </w:r>
      <w:r>
        <w:rPr>
          <w:rFonts w:ascii="仿宋" w:hAnsi="仿宋" w:eastAsia="仿宋" w:cs="仿宋"/>
          <w:spacing w:val="2"/>
          <w:sz w:val="31"/>
          <w:szCs w:val="31"/>
        </w:rPr>
        <w:t>稻种植面积，建设“东南部绿色优质稻米产业带”。以“郑家</w:t>
      </w:r>
      <w:r>
        <w:rPr>
          <w:rFonts w:ascii="仿宋" w:hAnsi="仿宋" w:eastAsia="仿宋" w:cs="仿宋"/>
          <w:spacing w:val="6"/>
          <w:sz w:val="31"/>
          <w:szCs w:val="31"/>
        </w:rPr>
        <w:t>屯”“吉犁”“禾磁场”等知名品牌为支撑，带动水稻加工业</w:t>
      </w:r>
      <w:r>
        <w:rPr>
          <w:rFonts w:ascii="仿宋" w:hAnsi="仿宋" w:eastAsia="仿宋" w:cs="仿宋"/>
          <w:spacing w:val="9"/>
          <w:sz w:val="31"/>
          <w:szCs w:val="31"/>
        </w:rPr>
        <w:t>的进一步发展，加快培育稻米加工龙头企业，促进产业融合发展。依托王奔镇、东明镇、柳条乡、新立乡生猪</w:t>
      </w:r>
      <w:r>
        <w:rPr>
          <w:rFonts w:hint="eastAsia" w:ascii="仿宋" w:hAnsi="仿宋" w:eastAsia="仿宋" w:cs="仿宋"/>
          <w:spacing w:val="9"/>
          <w:sz w:val="31"/>
          <w:szCs w:val="31"/>
          <w:lang w:eastAsia="zh-CN"/>
        </w:rPr>
        <w:t>小</w:t>
      </w:r>
      <w:r>
        <w:rPr>
          <w:rFonts w:ascii="仿宋" w:hAnsi="仿宋" w:eastAsia="仿宋" w:cs="仿宋"/>
          <w:spacing w:val="9"/>
          <w:sz w:val="31"/>
          <w:szCs w:val="31"/>
        </w:rPr>
        <w:t>规模养殖，围绕种养结合，发展标准化养殖业，推进种养循环经济发展，加</w:t>
      </w:r>
      <w:r>
        <w:rPr>
          <w:rFonts w:ascii="仿宋" w:hAnsi="仿宋" w:eastAsia="仿宋" w:cs="仿宋"/>
          <w:spacing w:val="7"/>
          <w:sz w:val="31"/>
          <w:szCs w:val="31"/>
        </w:rPr>
        <w:t>快建设“东南部生猪循环发展产业带”。充分利用王奔镇与双辽市区的区位优势，加快建设棚膜蔬菜基地，为“菜篮子”工</w:t>
      </w:r>
      <w:r>
        <w:rPr>
          <w:rFonts w:ascii="仿宋" w:hAnsi="仿宋" w:eastAsia="仿宋" w:cs="仿宋"/>
          <w:spacing w:val="6"/>
          <w:sz w:val="31"/>
          <w:szCs w:val="31"/>
        </w:rPr>
        <w:t>程实施提供保障。</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50" w:firstLineChars="200"/>
        <w:jc w:val="both"/>
        <w:textAlignment w:val="baseline"/>
        <w:rPr>
          <w:rFonts w:ascii="仿宋" w:hAnsi="仿宋" w:eastAsia="仿宋" w:cs="仿宋"/>
          <w:sz w:val="31"/>
          <w:szCs w:val="31"/>
        </w:rPr>
      </w:pPr>
      <w:r>
        <w:rPr>
          <w:rFonts w:ascii="仿宋" w:hAnsi="仿宋" w:eastAsia="仿宋" w:cs="仿宋"/>
          <w:b/>
          <w:bCs/>
          <w:spacing w:val="7"/>
          <w:sz w:val="31"/>
          <w:szCs w:val="31"/>
        </w:rPr>
        <w:t>中西部高效农业发展区</w:t>
      </w:r>
      <w:r>
        <w:rPr>
          <w:rFonts w:ascii="仿宋" w:hAnsi="仿宋" w:eastAsia="仿宋" w:cs="仿宋"/>
          <w:spacing w:val="7"/>
          <w:sz w:val="31"/>
          <w:szCs w:val="31"/>
        </w:rPr>
        <w:t>：以红旗街、玻璃山镇、卧虎镇</w:t>
      </w:r>
      <w:r>
        <w:rPr>
          <w:rFonts w:hint="eastAsia" w:ascii="仿宋" w:hAnsi="仿宋" w:eastAsia="仿宋" w:cs="仿宋"/>
          <w:spacing w:val="7"/>
          <w:sz w:val="31"/>
          <w:szCs w:val="31"/>
          <w:lang w:eastAsia="zh-CN"/>
        </w:rPr>
        <w:t>、</w:t>
      </w:r>
      <w:r>
        <w:rPr>
          <w:rFonts w:ascii="仿宋" w:hAnsi="仿宋" w:eastAsia="仿宋" w:cs="仿宋"/>
          <w:spacing w:val="7"/>
          <w:sz w:val="31"/>
          <w:szCs w:val="31"/>
        </w:rPr>
        <w:t>永</w:t>
      </w:r>
      <w:r>
        <w:rPr>
          <w:rFonts w:ascii="仿宋" w:hAnsi="仿宋" w:eastAsia="仿宋" w:cs="仿宋"/>
          <w:spacing w:val="9"/>
          <w:sz w:val="31"/>
          <w:szCs w:val="31"/>
        </w:rPr>
        <w:t>加乡、双山镇为主，建设“中西部高效农业发展区”。</w:t>
      </w:r>
      <w:r>
        <w:rPr>
          <w:rFonts w:ascii="仿宋" w:hAnsi="仿宋" w:eastAsia="仿宋" w:cs="仿宋"/>
          <w:spacing w:val="8"/>
          <w:sz w:val="31"/>
          <w:szCs w:val="31"/>
        </w:rPr>
        <w:t>重点发</w:t>
      </w:r>
      <w:r>
        <w:rPr>
          <w:rFonts w:ascii="仿宋" w:hAnsi="仿宋" w:eastAsia="仿宋" w:cs="仿宋"/>
          <w:spacing w:val="13"/>
          <w:sz w:val="31"/>
          <w:szCs w:val="31"/>
        </w:rPr>
        <w:t>展优质花生、玉米和高油大豆等作物，加大标准化特色养殖业规模。结合区域特点推进高标准农田建设和黑土地保护利用</w:t>
      </w:r>
      <w:r>
        <w:rPr>
          <w:rFonts w:hint="eastAsia" w:ascii="仿宋" w:hAnsi="仿宋" w:eastAsia="仿宋" w:cs="仿宋"/>
          <w:spacing w:val="13"/>
          <w:sz w:val="31"/>
          <w:szCs w:val="31"/>
          <w:lang w:eastAsia="zh-CN"/>
        </w:rPr>
        <w:t>，</w:t>
      </w:r>
      <w:r>
        <w:rPr>
          <w:rFonts w:ascii="仿宋" w:hAnsi="仿宋" w:eastAsia="仿宋" w:cs="仿宋"/>
          <w:spacing w:val="13"/>
          <w:sz w:val="31"/>
          <w:szCs w:val="31"/>
        </w:rPr>
        <w:t>实施良种全覆盖，推广良机</w:t>
      </w:r>
      <w:r>
        <w:rPr>
          <w:rFonts w:hint="eastAsia" w:ascii="仿宋" w:hAnsi="仿宋" w:eastAsia="仿宋" w:cs="仿宋"/>
          <w:spacing w:val="13"/>
          <w:sz w:val="31"/>
          <w:szCs w:val="31"/>
          <w:lang w:eastAsia="zh-CN"/>
        </w:rPr>
        <w:t>、</w:t>
      </w:r>
      <w:r>
        <w:rPr>
          <w:rFonts w:ascii="仿宋" w:hAnsi="仿宋" w:eastAsia="仿宋" w:cs="仿宋"/>
          <w:spacing w:val="13"/>
          <w:sz w:val="31"/>
          <w:szCs w:val="31"/>
        </w:rPr>
        <w:t>良技，稳定提高粮食产能。扩大花</w:t>
      </w:r>
      <w:r>
        <w:rPr>
          <w:rFonts w:ascii="仿宋" w:hAnsi="仿宋" w:eastAsia="仿宋" w:cs="仿宋"/>
          <w:spacing w:val="9"/>
          <w:sz w:val="31"/>
          <w:szCs w:val="31"/>
        </w:rPr>
        <w:t>生种植面积，优化花生种植品种和品质，提升“双辽花</w:t>
      </w:r>
      <w:r>
        <w:rPr>
          <w:rFonts w:ascii="仿宋" w:hAnsi="仿宋" w:eastAsia="仿宋" w:cs="仿宋"/>
          <w:spacing w:val="8"/>
          <w:sz w:val="31"/>
          <w:szCs w:val="31"/>
        </w:rPr>
        <w:t>生”品</w:t>
      </w:r>
      <w:r>
        <w:rPr>
          <w:rFonts w:ascii="仿宋" w:hAnsi="仿宋" w:eastAsia="仿宋" w:cs="仿宋"/>
          <w:spacing w:val="10"/>
          <w:sz w:val="31"/>
          <w:szCs w:val="31"/>
        </w:rPr>
        <w:t>牌知名度和品牌优势，以红旗街为核心打造花生现代农业产业</w:t>
      </w:r>
      <w:r>
        <w:rPr>
          <w:rFonts w:ascii="仿宋" w:hAnsi="仿宋" w:eastAsia="仿宋" w:cs="仿宋"/>
          <w:spacing w:val="9"/>
          <w:sz w:val="31"/>
          <w:szCs w:val="31"/>
        </w:rPr>
        <w:t>园，带动玻璃山镇、卧虎镇花生产业快速发展，建设“中西部</w:t>
      </w:r>
      <w:r>
        <w:rPr>
          <w:rFonts w:ascii="仿宋" w:hAnsi="仿宋" w:eastAsia="仿宋" w:cs="仿宋"/>
          <w:spacing w:val="10"/>
          <w:sz w:val="31"/>
          <w:szCs w:val="31"/>
        </w:rPr>
        <w:t>特色花生产业带”。以玻璃山镇、永加乡、双</w:t>
      </w:r>
      <w:r>
        <w:rPr>
          <w:rFonts w:ascii="仿宋" w:hAnsi="仿宋" w:eastAsia="仿宋" w:cs="仿宋"/>
          <w:spacing w:val="9"/>
          <w:sz w:val="31"/>
          <w:szCs w:val="31"/>
        </w:rPr>
        <w:t>山镇为重点</w:t>
      </w:r>
      <w:r>
        <w:rPr>
          <w:rFonts w:hint="eastAsia" w:ascii="仿宋" w:hAnsi="仿宋" w:eastAsia="仿宋" w:cs="仿宋"/>
          <w:spacing w:val="9"/>
          <w:sz w:val="31"/>
          <w:szCs w:val="31"/>
          <w:lang w:eastAsia="zh-CN"/>
        </w:rPr>
        <w:t>，</w:t>
      </w:r>
      <w:r>
        <w:rPr>
          <w:rFonts w:ascii="仿宋" w:hAnsi="仿宋" w:eastAsia="仿宋" w:cs="仿宋"/>
          <w:spacing w:val="9"/>
          <w:sz w:val="31"/>
          <w:szCs w:val="31"/>
        </w:rPr>
        <w:t>发</w:t>
      </w:r>
      <w:r>
        <w:rPr>
          <w:rFonts w:ascii="仿宋" w:hAnsi="仿宋" w:eastAsia="仿宋" w:cs="仿宋"/>
          <w:spacing w:val="13"/>
          <w:sz w:val="31"/>
          <w:szCs w:val="31"/>
        </w:rPr>
        <w:t>展特色养殖业基地，不断扩大牛羊、禽类的养殖规模</w:t>
      </w:r>
      <w:r>
        <w:rPr>
          <w:rFonts w:hint="eastAsia" w:ascii="仿宋" w:hAnsi="仿宋" w:eastAsia="仿宋" w:cs="仿宋"/>
          <w:spacing w:val="13"/>
          <w:sz w:val="31"/>
          <w:szCs w:val="31"/>
          <w:lang w:eastAsia="zh-CN"/>
        </w:rPr>
        <w:t>，</w:t>
      </w:r>
      <w:r>
        <w:rPr>
          <w:rFonts w:ascii="仿宋" w:hAnsi="仿宋" w:eastAsia="仿宋" w:cs="仿宋"/>
          <w:spacing w:val="13"/>
          <w:sz w:val="31"/>
          <w:szCs w:val="31"/>
        </w:rPr>
        <w:t>引进优良品种，加强科学化繁育、养殖，构建种养加全产业链，形成</w:t>
      </w:r>
      <w:r>
        <w:rPr>
          <w:rFonts w:ascii="仿宋" w:hAnsi="仿宋" w:eastAsia="仿宋" w:cs="仿宋"/>
          <w:spacing w:val="7"/>
          <w:sz w:val="31"/>
          <w:szCs w:val="31"/>
        </w:rPr>
        <w:t>“中西部规模化养殖产业带”，全力推进一二三产融合发展。</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54" w:firstLineChars="200"/>
        <w:jc w:val="both"/>
        <w:textAlignment w:val="baseline"/>
        <w:rPr>
          <w:rFonts w:ascii="仿宋" w:hAnsi="仿宋" w:eastAsia="仿宋" w:cs="仿宋"/>
          <w:sz w:val="31"/>
          <w:szCs w:val="31"/>
        </w:rPr>
      </w:pPr>
      <w:r>
        <w:rPr>
          <w:rFonts w:ascii="仿宋" w:hAnsi="仿宋" w:eastAsia="仿宋" w:cs="仿宋"/>
          <w:b/>
          <w:bCs/>
          <w:spacing w:val="8"/>
          <w:sz w:val="31"/>
          <w:szCs w:val="31"/>
        </w:rPr>
        <w:t>北部特色农业发展区：</w:t>
      </w:r>
      <w:r>
        <w:rPr>
          <w:rFonts w:hint="eastAsia" w:ascii="仿宋" w:hAnsi="仿宋" w:eastAsia="仿宋" w:cs="仿宋"/>
          <w:spacing w:val="8"/>
          <w:sz w:val="31"/>
          <w:szCs w:val="31"/>
          <w:lang w:eastAsia="zh-CN"/>
        </w:rPr>
        <w:t>以</w:t>
      </w:r>
      <w:r>
        <w:rPr>
          <w:rFonts w:ascii="仿宋" w:hAnsi="仿宋" w:eastAsia="仿宋" w:cs="仿宋"/>
          <w:spacing w:val="8"/>
          <w:sz w:val="31"/>
          <w:szCs w:val="31"/>
        </w:rPr>
        <w:t>茂林镇、服先镇、兴隆镇为主，</w:t>
      </w:r>
      <w:r>
        <w:rPr>
          <w:rFonts w:ascii="仿宋" w:hAnsi="仿宋" w:eastAsia="仿宋" w:cs="仿宋"/>
          <w:spacing w:val="11"/>
          <w:sz w:val="31"/>
          <w:szCs w:val="31"/>
        </w:rPr>
        <w:t>建设“北部特色农业发展区”，大力发展棚膜经济，扩</w:t>
      </w:r>
      <w:r>
        <w:rPr>
          <w:rFonts w:ascii="仿宋" w:hAnsi="仿宋" w:eastAsia="仿宋" w:cs="仿宋"/>
          <w:spacing w:val="10"/>
          <w:sz w:val="31"/>
          <w:szCs w:val="31"/>
        </w:rPr>
        <w:t>大杂粮</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20" w:firstLineChars="200"/>
        <w:jc w:val="both"/>
        <w:textAlignment w:val="baseline"/>
        <w:rPr>
          <w:rFonts w:ascii="仿宋" w:hAnsi="仿宋" w:eastAsia="仿宋" w:cs="仿宋"/>
          <w:sz w:val="31"/>
          <w:szCs w:val="31"/>
        </w:rPr>
        <w:sectPr>
          <w:footerReference r:id="rId9" w:type="default"/>
          <w:pgSz w:w="11906" w:h="16839"/>
          <w:pgMar w:top="1417" w:right="1587" w:bottom="1417" w:left="1587" w:header="0" w:footer="109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68" w:firstLineChars="200"/>
        <w:jc w:val="both"/>
        <w:textAlignment w:val="baseline"/>
        <w:rPr>
          <w:rFonts w:ascii="仿宋" w:hAnsi="仿宋" w:eastAsia="仿宋" w:cs="仿宋"/>
          <w:sz w:val="31"/>
          <w:szCs w:val="31"/>
        </w:rPr>
      </w:pPr>
      <w:r>
        <w:rPr>
          <w:rFonts w:ascii="仿宋" w:hAnsi="仿宋" w:eastAsia="仿宋" w:cs="仿宋"/>
          <w:spacing w:val="12"/>
          <w:sz w:val="31"/>
          <w:szCs w:val="31"/>
        </w:rPr>
        <w:t>杂豆、油料作物种植面积。加快推进生猪、牛羊规模化标准化</w:t>
      </w:r>
      <w:r>
        <w:rPr>
          <w:rFonts w:ascii="仿宋" w:hAnsi="仿宋" w:eastAsia="仿宋" w:cs="仿宋"/>
          <w:spacing w:val="11"/>
          <w:sz w:val="31"/>
          <w:szCs w:val="31"/>
        </w:rPr>
        <w:t>集中养殖，建设“北部种养结合循环发展产</w:t>
      </w:r>
      <w:r>
        <w:rPr>
          <w:rFonts w:ascii="仿宋" w:hAnsi="仿宋" w:eastAsia="仿宋" w:cs="仿宋"/>
          <w:spacing w:val="10"/>
          <w:sz w:val="31"/>
          <w:szCs w:val="31"/>
        </w:rPr>
        <w:t>业带”，打造种、</w:t>
      </w:r>
      <w:r>
        <w:rPr>
          <w:rFonts w:ascii="仿宋" w:hAnsi="仿宋" w:eastAsia="仿宋" w:cs="仿宋"/>
          <w:spacing w:val="13"/>
          <w:sz w:val="31"/>
          <w:szCs w:val="31"/>
        </w:rPr>
        <w:t>养、加融合发展示范基地。不断提升杂粮杂豆</w:t>
      </w:r>
      <w:r>
        <w:rPr>
          <w:rFonts w:ascii="仿宋" w:hAnsi="仿宋" w:eastAsia="仿宋" w:cs="仿宋"/>
          <w:spacing w:val="12"/>
          <w:sz w:val="31"/>
          <w:szCs w:val="31"/>
        </w:rPr>
        <w:t>及油料作物的产</w:t>
      </w:r>
      <w:r>
        <w:rPr>
          <w:rFonts w:ascii="仿宋" w:hAnsi="仿宋" w:eastAsia="仿宋" w:cs="仿宋"/>
          <w:spacing w:val="4"/>
          <w:sz w:val="31"/>
          <w:szCs w:val="31"/>
        </w:rPr>
        <w:t>量和品质，以“双辽小米”“双英黑豆”“双英绿豆”</w:t>
      </w:r>
      <w:r>
        <w:rPr>
          <w:rFonts w:ascii="仿宋" w:hAnsi="仿宋" w:eastAsia="仿宋" w:cs="仿宋"/>
          <w:spacing w:val="3"/>
          <w:sz w:val="31"/>
          <w:szCs w:val="31"/>
        </w:rPr>
        <w:t>等品牌</w:t>
      </w:r>
      <w:r>
        <w:rPr>
          <w:rFonts w:ascii="仿宋" w:hAnsi="仿宋" w:eastAsia="仿宋" w:cs="仿宋"/>
          <w:spacing w:val="5"/>
          <w:sz w:val="31"/>
          <w:szCs w:val="31"/>
        </w:rPr>
        <w:t>为依托</w:t>
      </w:r>
      <w:r>
        <w:rPr>
          <w:rFonts w:hint="eastAsia" w:ascii="仿宋" w:hAnsi="仿宋" w:eastAsia="仿宋" w:cs="仿宋"/>
          <w:spacing w:val="5"/>
          <w:sz w:val="31"/>
          <w:szCs w:val="31"/>
          <w:lang w:eastAsia="zh-CN"/>
        </w:rPr>
        <w:t>，</w:t>
      </w:r>
      <w:r>
        <w:rPr>
          <w:rFonts w:ascii="仿宋" w:hAnsi="仿宋" w:eastAsia="仿宋" w:cs="仿宋"/>
          <w:spacing w:val="5"/>
          <w:sz w:val="31"/>
          <w:szCs w:val="31"/>
        </w:rPr>
        <w:t>建设“特色杂粮杂豆产业带”。</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50" w:firstLineChars="200"/>
        <w:jc w:val="both"/>
        <w:textAlignment w:val="baseline"/>
        <w:rPr>
          <w:rFonts w:ascii="仿宋" w:hAnsi="仿宋" w:eastAsia="仿宋" w:cs="仿宋"/>
          <w:sz w:val="31"/>
          <w:szCs w:val="31"/>
        </w:rPr>
      </w:pPr>
      <w:r>
        <w:rPr>
          <w:rFonts w:ascii="仿宋" w:hAnsi="仿宋" w:eastAsia="仿宋" w:cs="仿宋"/>
          <w:b/>
          <w:bCs/>
          <w:spacing w:val="7"/>
          <w:sz w:val="31"/>
          <w:szCs w:val="31"/>
        </w:rPr>
        <w:t>六带：</w:t>
      </w:r>
      <w:r>
        <w:rPr>
          <w:rFonts w:ascii="仿宋" w:hAnsi="仿宋" w:eastAsia="仿宋" w:cs="仿宋"/>
          <w:spacing w:val="7"/>
          <w:sz w:val="31"/>
          <w:szCs w:val="31"/>
        </w:rPr>
        <w:t>“东南部绿色优质稻米产业带”“东南部生</w:t>
      </w:r>
      <w:r>
        <w:rPr>
          <w:rFonts w:ascii="仿宋" w:hAnsi="仿宋" w:eastAsia="仿宋" w:cs="仿宋"/>
          <w:spacing w:val="6"/>
          <w:sz w:val="31"/>
          <w:szCs w:val="31"/>
        </w:rPr>
        <w:t>猪循环</w:t>
      </w:r>
      <w:r>
        <w:rPr>
          <w:rFonts w:ascii="仿宋" w:hAnsi="仿宋" w:eastAsia="仿宋" w:cs="仿宋"/>
          <w:spacing w:val="5"/>
          <w:sz w:val="31"/>
          <w:szCs w:val="31"/>
        </w:rPr>
        <w:t>发展产业带”“中西部特色花生产业带”“中西部</w:t>
      </w:r>
      <w:r>
        <w:rPr>
          <w:rFonts w:ascii="仿宋" w:hAnsi="仿宋" w:eastAsia="仿宋" w:cs="仿宋"/>
          <w:spacing w:val="4"/>
          <w:sz w:val="31"/>
          <w:szCs w:val="31"/>
        </w:rPr>
        <w:t>规模化养殖</w:t>
      </w:r>
      <w:r>
        <w:rPr>
          <w:rFonts w:ascii="仿宋" w:hAnsi="仿宋" w:eastAsia="仿宋" w:cs="仿宋"/>
          <w:spacing w:val="9"/>
          <w:sz w:val="31"/>
          <w:szCs w:val="31"/>
        </w:rPr>
        <w:t>产业带”“北部种养结合循环发展产业带“特</w:t>
      </w:r>
      <w:r>
        <w:rPr>
          <w:rFonts w:ascii="仿宋" w:hAnsi="仿宋" w:eastAsia="仿宋" w:cs="仿宋"/>
          <w:spacing w:val="8"/>
          <w:sz w:val="31"/>
          <w:szCs w:val="31"/>
        </w:rPr>
        <w:t>色杂粮杂豆产</w:t>
      </w:r>
      <w:r>
        <w:rPr>
          <w:rFonts w:ascii="仿宋" w:hAnsi="仿宋" w:eastAsia="仿宋" w:cs="仿宋"/>
          <w:spacing w:val="4"/>
          <w:sz w:val="31"/>
          <w:szCs w:val="31"/>
        </w:rPr>
        <w:t>业带”。</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30" w:firstLineChars="200"/>
        <w:jc w:val="both"/>
        <w:textAlignment w:val="baseline"/>
        <w:rPr>
          <w:rFonts w:ascii="仿宋" w:hAnsi="仿宋" w:eastAsia="仿宋" w:cs="仿宋"/>
          <w:sz w:val="31"/>
          <w:szCs w:val="31"/>
        </w:rPr>
      </w:pPr>
      <w:r>
        <w:rPr>
          <w:rFonts w:ascii="仿宋" w:hAnsi="仿宋" w:eastAsia="仿宋" w:cs="仿宋"/>
          <w:b/>
          <w:bCs/>
          <w:spacing w:val="2"/>
          <w:sz w:val="31"/>
          <w:szCs w:val="31"/>
        </w:rPr>
        <w:t>多基地（园区</w:t>
      </w:r>
      <w:r>
        <w:rPr>
          <w:rFonts w:ascii="仿宋" w:hAnsi="仿宋" w:eastAsia="仿宋" w:cs="仿宋"/>
          <w:b/>
          <w:bCs/>
          <w:spacing w:val="21"/>
          <w:sz w:val="31"/>
          <w:szCs w:val="31"/>
        </w:rPr>
        <w:t>）：</w:t>
      </w:r>
      <w:r>
        <w:rPr>
          <w:rFonts w:ascii="仿宋" w:hAnsi="仿宋" w:eastAsia="仿宋" w:cs="仿宋"/>
          <w:spacing w:val="2"/>
          <w:sz w:val="31"/>
          <w:szCs w:val="31"/>
        </w:rPr>
        <w:t>建设三省（区）跨界融合的绿色农副产</w:t>
      </w:r>
      <w:r>
        <w:rPr>
          <w:rFonts w:ascii="仿宋" w:hAnsi="仿宋" w:eastAsia="仿宋" w:cs="仿宋"/>
          <w:spacing w:val="8"/>
          <w:sz w:val="31"/>
          <w:szCs w:val="31"/>
        </w:rPr>
        <w:t>品加工基地，生猪、肉牛、肉羊、禽类四大畜禽生产基地。</w:t>
      </w:r>
      <w:r>
        <w:rPr>
          <w:rFonts w:ascii="仿宋" w:hAnsi="仿宋" w:eastAsia="仿宋" w:cs="仿宋"/>
          <w:spacing w:val="13"/>
          <w:sz w:val="31"/>
          <w:szCs w:val="31"/>
        </w:rPr>
        <w:t>王奔镇、茂林镇、兴隆镇、双山镇、卧虎镇、东明镇、柳条乡生猪养殖产业基地，那木乡牛羊养殖产业基地，双山镇、永加乡禽类养殖产业基地，兴隆镇、王奔镇、茂林镇、服先镇肉牛</w:t>
      </w:r>
      <w:r>
        <w:rPr>
          <w:rFonts w:ascii="仿宋" w:hAnsi="仿宋" w:eastAsia="仿宋" w:cs="仿宋"/>
          <w:spacing w:val="8"/>
          <w:sz w:val="31"/>
          <w:szCs w:val="31"/>
        </w:rPr>
        <w:t>养殖产业基地，卧虎镇、玻璃山镇奶牛、肉牛、肉羊养殖产业</w:t>
      </w:r>
      <w:r>
        <w:rPr>
          <w:rFonts w:ascii="仿宋" w:hAnsi="仿宋" w:eastAsia="仿宋" w:cs="仿宋"/>
          <w:spacing w:val="13"/>
          <w:sz w:val="31"/>
          <w:szCs w:val="31"/>
        </w:rPr>
        <w:t>基地。茂林镇、服先镇优质杂粮生产基地，卧虎镇、玻璃山镇优质大豆生产基地，红旗街、卧虎镇特色花生生产基地，新立乡、柳条乡等河套地区绿色优质稻米生产基地，兴隆镇、永加</w:t>
      </w:r>
      <w:r>
        <w:rPr>
          <w:rFonts w:ascii="仿宋" w:hAnsi="仿宋" w:eastAsia="仿宋" w:cs="仿宋"/>
          <w:spacing w:val="9"/>
          <w:sz w:val="31"/>
          <w:szCs w:val="31"/>
        </w:rPr>
        <w:t>乡高淀粉玉米生产基地，双山镇、卧虎镇鲜食玉米生产基地。</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建设长春都市经济圈蔬菜、水果生产基地，那木乡、王奔</w:t>
      </w:r>
      <w:r>
        <w:rPr>
          <w:rFonts w:ascii="仿宋" w:hAnsi="仿宋" w:eastAsia="仿宋" w:cs="仿宋"/>
          <w:spacing w:val="9"/>
          <w:sz w:val="31"/>
          <w:szCs w:val="31"/>
        </w:rPr>
        <w:t>镇棚膜经济产业基地，卧虎镇、红旗街、服先镇“两瓜”种植</w:t>
      </w:r>
      <w:r>
        <w:rPr>
          <w:rFonts w:ascii="仿宋" w:hAnsi="仿宋" w:eastAsia="仿宋" w:cs="仿宋"/>
          <w:spacing w:val="13"/>
          <w:sz w:val="31"/>
          <w:szCs w:val="31"/>
        </w:rPr>
        <w:t>产业基地，传统农业体验园，观光农业示范园和生态</w:t>
      </w:r>
      <w:r>
        <w:rPr>
          <w:rFonts w:ascii="仿宋" w:hAnsi="仿宋" w:eastAsia="仿宋" w:cs="仿宋"/>
          <w:spacing w:val="12"/>
          <w:sz w:val="31"/>
          <w:szCs w:val="31"/>
        </w:rPr>
        <w:t>农业科普</w:t>
      </w:r>
      <w:r>
        <w:rPr>
          <w:rFonts w:ascii="仿宋" w:hAnsi="仿宋" w:eastAsia="仿宋" w:cs="仿宋"/>
          <w:spacing w:val="7"/>
          <w:sz w:val="31"/>
          <w:szCs w:val="31"/>
        </w:rPr>
        <w:t>教育基地（研学旅行基地）。</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20" w:firstLineChars="200"/>
        <w:jc w:val="both"/>
        <w:textAlignment w:val="baseline"/>
        <w:rPr>
          <w:rFonts w:ascii="仿宋" w:hAnsi="仿宋" w:eastAsia="仿宋" w:cs="仿宋"/>
          <w:sz w:val="31"/>
          <w:szCs w:val="31"/>
        </w:rPr>
        <w:sectPr>
          <w:footerReference r:id="rId10" w:type="default"/>
          <w:pgSz w:w="11906" w:h="16839"/>
          <w:pgMar w:top="1417" w:right="1587" w:bottom="1417" w:left="1587" w:header="0" w:footer="1094" w:gutter="0"/>
          <w:pgNumType w:fmt="decimal"/>
          <w:cols w:space="0" w:num="1"/>
          <w:rtlGutter w:val="0"/>
          <w:docGrid w:linePitch="0" w:charSpace="0"/>
        </w:sectPr>
      </w:pPr>
    </w:p>
    <w:p>
      <w:pPr>
        <w:pStyle w:val="4"/>
        <w:keepNext w:val="0"/>
        <w:keepLines w:val="0"/>
        <w:pageBreakBefore w:val="0"/>
        <w:widowControl w:val="0"/>
        <w:kinsoku/>
        <w:wordWrap/>
        <w:overflowPunct w:val="0"/>
        <w:topLinePunct w:val="0"/>
        <w:bidi w:val="0"/>
        <w:spacing w:line="292" w:lineRule="auto"/>
        <w:jc w:val="both"/>
      </w:pPr>
    </w:p>
    <w:p>
      <w:pPr>
        <w:pStyle w:val="4"/>
        <w:keepNext w:val="0"/>
        <w:keepLines w:val="0"/>
        <w:pageBreakBefore w:val="0"/>
        <w:widowControl w:val="0"/>
        <w:kinsoku/>
        <w:wordWrap/>
        <w:overflowPunct w:val="0"/>
        <w:topLinePunct w:val="0"/>
        <w:bidi w:val="0"/>
        <w:spacing w:line="293" w:lineRule="auto"/>
        <w:jc w:val="both"/>
      </w:pPr>
    </w:p>
    <w:p>
      <w:pPr>
        <w:pStyle w:val="4"/>
        <w:keepNext w:val="0"/>
        <w:keepLines w:val="0"/>
        <w:pageBreakBefore w:val="0"/>
        <w:widowControl w:val="0"/>
        <w:kinsoku/>
        <w:wordWrap/>
        <w:overflowPunct w:val="0"/>
        <w:topLinePunct w:val="0"/>
        <w:bidi w:val="0"/>
        <w:spacing w:line="293" w:lineRule="auto"/>
        <w:jc w:val="both"/>
      </w:pPr>
    </w:p>
    <w:p>
      <w:pPr>
        <w:pStyle w:val="4"/>
        <w:keepNext w:val="0"/>
        <w:keepLines w:val="0"/>
        <w:pageBreakBefore w:val="0"/>
        <w:widowControl w:val="0"/>
        <w:kinsoku/>
        <w:wordWrap/>
        <w:overflowPunct w:val="0"/>
        <w:topLinePunct w:val="0"/>
        <w:bidi w:val="0"/>
        <w:spacing w:line="293" w:lineRule="auto"/>
        <w:jc w:val="both"/>
      </w:pPr>
    </w:p>
    <w:p>
      <w:pPr>
        <w:keepNext w:val="0"/>
        <w:keepLines w:val="0"/>
        <w:pageBreakBefore w:val="0"/>
        <w:widowControl w:val="0"/>
        <w:kinsoku/>
        <w:wordWrap/>
        <w:overflowPunct w:val="0"/>
        <w:topLinePunct w:val="0"/>
        <w:bidi w:val="0"/>
        <w:spacing w:line="12272" w:lineRule="exact"/>
        <w:jc w:val="both"/>
      </w:pPr>
      <w:r>
        <w:rPr>
          <w:position w:val="-245"/>
        </w:rPr>
        <w:drawing>
          <wp:inline distT="0" distB="0" distL="0" distR="0">
            <wp:extent cx="5359400" cy="77920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1"/>
                    <a:stretch>
                      <a:fillRect/>
                    </a:stretch>
                  </pic:blipFill>
                  <pic:spPr>
                    <a:xfrm>
                      <a:off x="0" y="0"/>
                      <a:ext cx="5359908" cy="7792211"/>
                    </a:xfrm>
                    <a:prstGeom prst="rect">
                      <a:avLst/>
                    </a:prstGeom>
                  </pic:spPr>
                </pic:pic>
              </a:graphicData>
            </a:graphic>
          </wp:inline>
        </w:drawing>
      </w:r>
    </w:p>
    <w:p>
      <w:pPr>
        <w:keepNext w:val="0"/>
        <w:keepLines w:val="0"/>
        <w:pageBreakBefore w:val="0"/>
        <w:widowControl w:val="0"/>
        <w:kinsoku/>
        <w:wordWrap/>
        <w:overflowPunct w:val="0"/>
        <w:topLinePunct w:val="0"/>
        <w:bidi w:val="0"/>
        <w:spacing w:line="12272" w:lineRule="exact"/>
        <w:jc w:val="both"/>
        <w:sectPr>
          <w:footerReference r:id="rId11" w:type="default"/>
          <w:pgSz w:w="11906" w:h="16839"/>
          <w:pgMar w:top="1417" w:right="1587" w:bottom="1417" w:left="1587" w:header="0" w:footer="109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0"/>
        <w:rPr>
          <w:rFonts w:ascii="黑体" w:hAnsi="黑体" w:eastAsia="黑体" w:cs="黑体"/>
          <w:spacing w:val="0"/>
          <w:sz w:val="32"/>
          <w:szCs w:val="32"/>
        </w:rPr>
      </w:pPr>
      <w:bookmarkStart w:id="29" w:name="bookmark21"/>
      <w:bookmarkEnd w:id="29"/>
      <w:bookmarkStart w:id="30" w:name="_Toc16367"/>
      <w:r>
        <w:rPr>
          <w:rFonts w:ascii="黑体" w:hAnsi="黑体" w:eastAsia="黑体" w:cs="黑体"/>
          <w:spacing w:val="0"/>
          <w:sz w:val="32"/>
          <w:szCs w:val="32"/>
        </w:rPr>
        <w:t>四、重点任务</w:t>
      </w:r>
      <w:bookmarkEnd w:id="30"/>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31" w:name="bookmark23"/>
      <w:bookmarkEnd w:id="31"/>
      <w:bookmarkStart w:id="32" w:name="_Toc32633"/>
      <w:r>
        <w:rPr>
          <w:rFonts w:ascii="楷体" w:hAnsi="楷体" w:eastAsia="楷体" w:cs="楷体"/>
          <w:spacing w:val="0"/>
          <w:sz w:val="32"/>
          <w:szCs w:val="32"/>
        </w:rPr>
        <w:t>（一）确保粮食稳产优质安全</w:t>
      </w:r>
      <w:bookmarkEnd w:id="32"/>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6" w:firstLineChars="200"/>
        <w:jc w:val="both"/>
        <w:textAlignment w:val="baseline"/>
        <w:rPr>
          <w:rFonts w:ascii="仿宋" w:hAnsi="仿宋" w:eastAsia="仿宋" w:cs="仿宋"/>
          <w:sz w:val="32"/>
          <w:szCs w:val="32"/>
        </w:rPr>
      </w:pPr>
      <w:r>
        <w:rPr>
          <w:rFonts w:ascii="仿宋" w:hAnsi="仿宋" w:eastAsia="仿宋" w:cs="仿宋"/>
          <w:spacing w:val="9"/>
          <w:sz w:val="32"/>
          <w:szCs w:val="32"/>
        </w:rPr>
        <w:t>以保障国家粮食安全为重任，深入实施“藏粮于地、藏粮</w:t>
      </w:r>
      <w:r>
        <w:rPr>
          <w:rFonts w:ascii="仿宋" w:hAnsi="仿宋" w:eastAsia="仿宋" w:cs="仿宋"/>
          <w:spacing w:val="11"/>
          <w:sz w:val="32"/>
          <w:szCs w:val="32"/>
        </w:rPr>
        <w:t>于技”战略，集中连片建设高标准农田，优化粮食种植结构，</w:t>
      </w:r>
      <w:r>
        <w:rPr>
          <w:rFonts w:ascii="仿宋" w:hAnsi="仿宋" w:eastAsia="仿宋" w:cs="仿宋"/>
          <w:spacing w:val="-2"/>
          <w:sz w:val="32"/>
          <w:szCs w:val="32"/>
        </w:rPr>
        <w:t>强化农业科技和装备支撑，稳步提升粮食综合生产能力。到20</w:t>
      </w:r>
      <w:r>
        <w:rPr>
          <w:rFonts w:ascii="仿宋" w:hAnsi="仿宋" w:eastAsia="仿宋" w:cs="仿宋"/>
          <w:spacing w:val="-3"/>
          <w:sz w:val="32"/>
          <w:szCs w:val="32"/>
        </w:rPr>
        <w:t>25</w:t>
      </w:r>
      <w:r>
        <w:rPr>
          <w:rFonts w:ascii="仿宋" w:hAnsi="仿宋" w:eastAsia="仿宋" w:cs="仿宋"/>
          <w:spacing w:val="6"/>
          <w:sz w:val="32"/>
          <w:szCs w:val="32"/>
        </w:rPr>
        <w:t>年，粮食总产量跃升至</w:t>
      </w:r>
      <w:r>
        <w:rPr>
          <w:rFonts w:ascii="仿宋" w:hAnsi="仿宋" w:eastAsia="仿宋" w:cs="仿宋"/>
          <w:spacing w:val="-2"/>
          <w:sz w:val="32"/>
          <w:szCs w:val="32"/>
        </w:rPr>
        <w:t>2</w:t>
      </w:r>
      <w:r>
        <w:rPr>
          <w:rFonts w:hint="eastAsia" w:ascii="仿宋" w:hAnsi="仿宋" w:eastAsia="仿宋" w:cs="仿宋"/>
          <w:spacing w:val="-2"/>
          <w:sz w:val="32"/>
          <w:szCs w:val="32"/>
          <w:lang w:val="en-US" w:eastAsia="zh-CN"/>
        </w:rPr>
        <w:t>6.5</w:t>
      </w:r>
      <w:r>
        <w:rPr>
          <w:rFonts w:ascii="仿宋" w:hAnsi="仿宋" w:eastAsia="仿宋" w:cs="仿宋"/>
          <w:spacing w:val="6"/>
          <w:sz w:val="32"/>
          <w:szCs w:val="32"/>
        </w:rPr>
        <w:t>亿斤阶段性水平。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5" w:firstLineChars="200"/>
        <w:jc w:val="both"/>
        <w:textAlignment w:val="baseline"/>
        <w:outlineLvl w:val="2"/>
        <w:rPr>
          <w:rFonts w:ascii="仿宋" w:hAnsi="仿宋" w:eastAsia="仿宋" w:cs="仿宋"/>
          <w:sz w:val="32"/>
          <w:szCs w:val="32"/>
        </w:rPr>
      </w:pPr>
      <w:bookmarkStart w:id="33" w:name="_Toc30640"/>
      <w:r>
        <w:rPr>
          <w:rFonts w:ascii="仿宋" w:hAnsi="仿宋" w:eastAsia="仿宋" w:cs="仿宋"/>
          <w:b/>
          <w:bCs/>
          <w:spacing w:val="3"/>
          <w:sz w:val="32"/>
          <w:szCs w:val="32"/>
        </w:rPr>
        <w:t>1.持续优化种植结构</w:t>
      </w:r>
      <w:bookmarkEnd w:id="33"/>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92" w:firstLineChars="200"/>
        <w:jc w:val="both"/>
        <w:textAlignment w:val="baseline"/>
        <w:rPr>
          <w:rFonts w:ascii="仿宋" w:hAnsi="仿宋" w:eastAsia="仿宋" w:cs="仿宋"/>
          <w:sz w:val="32"/>
          <w:szCs w:val="32"/>
        </w:rPr>
      </w:pPr>
      <w:r>
        <w:rPr>
          <w:rFonts w:ascii="仿宋" w:hAnsi="仿宋" w:eastAsia="仿宋" w:cs="仿宋"/>
          <w:spacing w:val="13"/>
          <w:sz w:val="32"/>
          <w:szCs w:val="32"/>
        </w:rPr>
        <w:t>按照稳粮、优经、扩饲的思路，加快构建粮经饲协调发展</w:t>
      </w:r>
      <w:r>
        <w:rPr>
          <w:rFonts w:ascii="仿宋" w:hAnsi="仿宋" w:eastAsia="仿宋" w:cs="仿宋"/>
          <w:spacing w:val="7"/>
          <w:sz w:val="32"/>
          <w:szCs w:val="32"/>
        </w:rPr>
        <w:t>的三元种植结构。在“东南部生态农业发展区”“中西部高效</w:t>
      </w:r>
      <w:r>
        <w:rPr>
          <w:rFonts w:ascii="仿宋" w:hAnsi="仿宋" w:eastAsia="仿宋" w:cs="仿宋"/>
          <w:spacing w:val="13"/>
          <w:sz w:val="32"/>
          <w:szCs w:val="32"/>
        </w:rPr>
        <w:t>农业发展区”，优化玉米种植结构，鼓励发展高淀粉玉米，增</w:t>
      </w:r>
      <w:r>
        <w:rPr>
          <w:rFonts w:ascii="仿宋" w:hAnsi="仿宋" w:eastAsia="仿宋" w:cs="仿宋"/>
          <w:spacing w:val="11"/>
          <w:sz w:val="32"/>
          <w:szCs w:val="32"/>
        </w:rPr>
        <w:t>加绿色优质水稻、特色花生等作物产量。在“北部特色农业发</w:t>
      </w:r>
      <w:r>
        <w:rPr>
          <w:rFonts w:ascii="仿宋" w:hAnsi="仿宋" w:eastAsia="仿宋" w:cs="仿宋"/>
          <w:spacing w:val="10"/>
          <w:sz w:val="32"/>
          <w:szCs w:val="32"/>
        </w:rPr>
        <w:t>展区”，稳定杂粮杂豆种植面积，因地制宜发展青贮玉米、苜</w:t>
      </w:r>
      <w:r>
        <w:rPr>
          <w:rFonts w:ascii="仿宋" w:hAnsi="仿宋" w:eastAsia="仿宋" w:cs="仿宋"/>
          <w:spacing w:val="5"/>
          <w:sz w:val="32"/>
          <w:szCs w:val="32"/>
        </w:rPr>
        <w:t>蓿、燕麦草等饲草种植面积。到2025年，全市优质粮食作物种</w:t>
      </w:r>
      <w:r>
        <w:rPr>
          <w:rFonts w:ascii="仿宋" w:hAnsi="仿宋" w:eastAsia="仿宋" w:cs="仿宋"/>
          <w:spacing w:val="4"/>
          <w:sz w:val="32"/>
          <w:szCs w:val="32"/>
        </w:rPr>
        <w:t>植面积达到</w:t>
      </w:r>
      <w:r>
        <w:rPr>
          <w:rFonts w:ascii="仿宋" w:hAnsi="仿宋" w:eastAsia="仿宋" w:cs="仿宋"/>
          <w:spacing w:val="5"/>
          <w:sz w:val="32"/>
          <w:szCs w:val="32"/>
        </w:rPr>
        <w:t>2</w:t>
      </w:r>
      <w:r>
        <w:rPr>
          <w:rFonts w:hint="eastAsia" w:ascii="仿宋" w:hAnsi="仿宋" w:eastAsia="仿宋" w:cs="仿宋"/>
          <w:spacing w:val="5"/>
          <w:sz w:val="32"/>
          <w:szCs w:val="32"/>
          <w:lang w:val="en-US" w:eastAsia="zh-CN"/>
        </w:rPr>
        <w:t>66</w:t>
      </w:r>
      <w:r>
        <w:rPr>
          <w:rFonts w:ascii="仿宋" w:hAnsi="仿宋" w:eastAsia="仿宋" w:cs="仿宋"/>
          <w:spacing w:val="4"/>
          <w:sz w:val="32"/>
          <w:szCs w:val="32"/>
        </w:rPr>
        <w:t>万亩以上。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3" w:firstLineChars="200"/>
        <w:jc w:val="both"/>
        <w:textAlignment w:val="baseline"/>
        <w:outlineLvl w:val="2"/>
        <w:rPr>
          <w:rFonts w:ascii="仿宋" w:hAnsi="仿宋" w:eastAsia="仿宋" w:cs="仿宋"/>
          <w:sz w:val="32"/>
          <w:szCs w:val="32"/>
        </w:rPr>
      </w:pPr>
      <w:bookmarkStart w:id="34" w:name="_Toc311"/>
      <w:r>
        <w:rPr>
          <w:rFonts w:ascii="仿宋" w:hAnsi="仿宋" w:eastAsia="仿宋" w:cs="仿宋"/>
          <w:b/>
          <w:bCs/>
          <w:spacing w:val="5"/>
          <w:sz w:val="32"/>
          <w:szCs w:val="32"/>
        </w:rPr>
        <w:t>2.推进高标准农田建设</w:t>
      </w:r>
      <w:bookmarkEnd w:id="34"/>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2"/>
          <w:szCs w:val="32"/>
        </w:rPr>
      </w:pPr>
      <w:r>
        <w:rPr>
          <w:rFonts w:ascii="仿宋" w:hAnsi="仿宋" w:eastAsia="仿宋" w:cs="仿宋"/>
          <w:color w:val="191919"/>
          <w:spacing w:val="8"/>
          <w:sz w:val="32"/>
          <w:szCs w:val="32"/>
        </w:rPr>
        <w:t>坚持“路相通、渠相连、旱能灌、涝能排、机宜耕的原</w:t>
      </w:r>
      <w:r>
        <w:rPr>
          <w:rFonts w:ascii="仿宋" w:hAnsi="仿宋" w:eastAsia="仿宋" w:cs="仿宋"/>
          <w:color w:val="191919"/>
          <w:spacing w:val="9"/>
          <w:sz w:val="32"/>
          <w:szCs w:val="32"/>
        </w:rPr>
        <w:t>则，</w:t>
      </w:r>
      <w:r>
        <w:rPr>
          <w:rFonts w:ascii="仿宋" w:hAnsi="仿宋" w:eastAsia="仿宋" w:cs="仿宋"/>
          <w:spacing w:val="9"/>
          <w:sz w:val="32"/>
          <w:szCs w:val="32"/>
        </w:rPr>
        <w:t>开展“节水高效、稳产高产、生态友好、集中连片”的高</w:t>
      </w:r>
      <w:r>
        <w:rPr>
          <w:rFonts w:ascii="仿宋" w:hAnsi="仿宋" w:eastAsia="仿宋" w:cs="仿宋"/>
          <w:spacing w:val="13"/>
          <w:sz w:val="32"/>
          <w:szCs w:val="32"/>
        </w:rPr>
        <w:t>标准农田建设，加强高标准农田管护和利用，引导农民利用良好的农业基础条</w:t>
      </w:r>
      <w:r>
        <w:rPr>
          <w:rFonts w:ascii="仿宋" w:hAnsi="仿宋" w:eastAsia="仿宋" w:cs="仿宋"/>
          <w:color w:val="191919"/>
          <w:spacing w:val="13"/>
          <w:sz w:val="32"/>
          <w:szCs w:val="32"/>
        </w:rPr>
        <w:t>件，加大优良品种种植面积，</w:t>
      </w:r>
      <w:r>
        <w:rPr>
          <w:rFonts w:ascii="仿宋" w:hAnsi="仿宋" w:eastAsia="仿宋" w:cs="仿宋"/>
          <w:spacing w:val="13"/>
          <w:sz w:val="32"/>
          <w:szCs w:val="32"/>
        </w:rPr>
        <w:t>巩固粮食产能保</w:t>
      </w:r>
      <w:r>
        <w:rPr>
          <w:rFonts w:ascii="仿宋" w:hAnsi="仿宋" w:eastAsia="仿宋" w:cs="仿宋"/>
          <w:spacing w:val="14"/>
          <w:sz w:val="32"/>
          <w:szCs w:val="32"/>
        </w:rPr>
        <w:t>障基地地位，增强农田可持续利用能力，实现田地平整肥沃、</w:t>
      </w:r>
      <w:r>
        <w:rPr>
          <w:rFonts w:ascii="仿宋" w:hAnsi="仿宋" w:eastAsia="仿宋" w:cs="仿宋"/>
          <w:spacing w:val="4"/>
          <w:sz w:val="32"/>
          <w:szCs w:val="32"/>
        </w:rPr>
        <w:t>水利设施配套、田间道路畅通、科技先进适用、优质高效高产，</w:t>
      </w:r>
      <w:r>
        <w:rPr>
          <w:rFonts w:ascii="仿宋" w:hAnsi="仿宋" w:eastAsia="仿宋" w:cs="仿宋"/>
          <w:color w:val="191919"/>
          <w:spacing w:val="13"/>
          <w:sz w:val="32"/>
          <w:szCs w:val="32"/>
        </w:rPr>
        <w:t>有特色、有亮点、有效益、有规模的高标准农田示范区</w:t>
      </w:r>
      <w:r>
        <w:rPr>
          <w:rFonts w:ascii="仿宋" w:hAnsi="仿宋" w:eastAsia="仿宋" w:cs="仿宋"/>
          <w:spacing w:val="13"/>
          <w:sz w:val="32"/>
          <w:szCs w:val="32"/>
        </w:rPr>
        <w:t>，提升</w:t>
      </w:r>
      <w:r>
        <w:rPr>
          <w:rFonts w:ascii="仿宋" w:hAnsi="仿宋" w:eastAsia="仿宋" w:cs="仿宋"/>
          <w:spacing w:val="5"/>
          <w:sz w:val="32"/>
          <w:szCs w:val="32"/>
        </w:rPr>
        <w:t>农业抵御自然风险能力。到2025年，全市高标准农田建成面积</w:t>
      </w:r>
      <w:r>
        <w:rPr>
          <w:rFonts w:ascii="仿宋" w:hAnsi="仿宋" w:eastAsia="仿宋" w:cs="仿宋"/>
          <w:spacing w:val="3"/>
          <w:sz w:val="32"/>
          <w:szCs w:val="32"/>
        </w:rPr>
        <w:t>达到180万亩，确保粮食稳产高产。</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3" w:firstLineChars="200"/>
        <w:jc w:val="both"/>
        <w:textAlignment w:val="baseline"/>
        <w:outlineLvl w:val="2"/>
        <w:rPr>
          <w:rFonts w:ascii="仿宋" w:hAnsi="仿宋" w:eastAsia="仿宋" w:cs="仿宋"/>
          <w:sz w:val="32"/>
          <w:szCs w:val="32"/>
        </w:rPr>
      </w:pPr>
      <w:bookmarkStart w:id="35" w:name="_Toc2569"/>
      <w:r>
        <w:rPr>
          <w:rFonts w:ascii="仿宋" w:hAnsi="仿宋" w:eastAsia="仿宋" w:cs="仿宋"/>
          <w:b/>
          <w:bCs/>
          <w:spacing w:val="5"/>
          <w:sz w:val="32"/>
          <w:szCs w:val="32"/>
        </w:rPr>
        <w:t>3.加强良种良技良机推广</w:t>
      </w:r>
      <w:bookmarkEnd w:id="35"/>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6" w:firstLineChars="200"/>
        <w:jc w:val="both"/>
        <w:textAlignment w:val="baseline"/>
        <w:rPr>
          <w:rFonts w:ascii="仿宋" w:hAnsi="仿宋" w:eastAsia="仿宋" w:cs="仿宋"/>
          <w:sz w:val="32"/>
          <w:szCs w:val="32"/>
        </w:rPr>
      </w:pPr>
      <w:r>
        <w:rPr>
          <w:rFonts w:ascii="仿宋" w:hAnsi="仿宋" w:eastAsia="仿宋" w:cs="仿宋"/>
          <w:spacing w:val="4"/>
          <w:sz w:val="32"/>
          <w:szCs w:val="32"/>
        </w:rPr>
        <w:t>推进农业科技成果转化和应用，大力发展农业信息化服务。</w:t>
      </w:r>
      <w:r>
        <w:rPr>
          <w:rFonts w:ascii="仿宋" w:hAnsi="仿宋" w:eastAsia="仿宋" w:cs="仿宋"/>
          <w:spacing w:val="13"/>
          <w:sz w:val="32"/>
          <w:szCs w:val="32"/>
        </w:rPr>
        <w:t>加快发展现代种业，加强良种资源保护利用，瞄准良种更新变</w:t>
      </w:r>
      <w:r>
        <w:rPr>
          <w:rFonts w:ascii="仿宋" w:hAnsi="仿宋" w:eastAsia="仿宋" w:cs="仿宋"/>
          <w:spacing w:val="10"/>
          <w:sz w:val="32"/>
          <w:szCs w:val="32"/>
        </w:rPr>
        <w:t>化趋势，因地制宜地推广应用新良种，选育高产、优质、多抗</w:t>
      </w:r>
      <w:r>
        <w:rPr>
          <w:rFonts w:ascii="仿宋" w:hAnsi="仿宋" w:eastAsia="仿宋" w:cs="仿宋"/>
          <w:spacing w:val="13"/>
          <w:sz w:val="32"/>
          <w:szCs w:val="32"/>
        </w:rPr>
        <w:t>粮食新品种，在农业良种化上实现新突破；加快推广适宜不同区域、不同作物、不同环节的新机具、新模式，推进玉米、水</w:t>
      </w:r>
      <w:r>
        <w:rPr>
          <w:rFonts w:ascii="仿宋" w:hAnsi="仿宋" w:eastAsia="仿宋" w:cs="仿宋"/>
          <w:spacing w:val="5"/>
          <w:sz w:val="32"/>
          <w:szCs w:val="32"/>
        </w:rPr>
        <w:t>稻等主要粮食作物生产全程机械化；推广绿色栽培、测土</w:t>
      </w:r>
      <w:r>
        <w:rPr>
          <w:rFonts w:ascii="仿宋" w:hAnsi="仿宋" w:eastAsia="仿宋" w:cs="仿宋"/>
          <w:spacing w:val="4"/>
          <w:sz w:val="32"/>
          <w:szCs w:val="32"/>
        </w:rPr>
        <w:t>施肥、</w:t>
      </w:r>
      <w:r>
        <w:rPr>
          <w:rFonts w:ascii="仿宋" w:hAnsi="仿宋" w:eastAsia="仿宋" w:cs="仿宋"/>
          <w:spacing w:val="13"/>
          <w:sz w:val="32"/>
          <w:szCs w:val="32"/>
        </w:rPr>
        <w:t>节水灌溉、精准作业等先进适用技术；分门别类对生产进行技术指导，推进有机肥替代技术和生物防治等绿色防控技术，不</w:t>
      </w:r>
      <w:r>
        <w:rPr>
          <w:rFonts w:ascii="仿宋" w:hAnsi="仿宋" w:eastAsia="仿宋" w:cs="仿宋"/>
          <w:spacing w:val="14"/>
          <w:sz w:val="32"/>
          <w:szCs w:val="32"/>
        </w:rPr>
        <w:t>断扩大统防统治、统配统施面积。加强田间巡查和苗情观察，</w:t>
      </w:r>
      <w:r>
        <w:rPr>
          <w:rFonts w:ascii="仿宋" w:hAnsi="仿宋" w:eastAsia="仿宋" w:cs="仿宋"/>
          <w:spacing w:val="4"/>
          <w:sz w:val="32"/>
          <w:szCs w:val="32"/>
        </w:rPr>
        <w:t>制定科学的田间管理方案，因地制宜采取有效措施。到2025年，</w:t>
      </w:r>
      <w:r>
        <w:rPr>
          <w:rFonts w:ascii="仿宋" w:hAnsi="仿宋" w:eastAsia="仿宋" w:cs="仿宋"/>
          <w:spacing w:val="6"/>
          <w:sz w:val="32"/>
          <w:szCs w:val="32"/>
        </w:rPr>
        <w:t>良种覆盖率达到100%，农业科技贡献率达到65%，全市主要农作物耕种收综合机械化率达到96.5%。主要农作物农药利用率达到</w:t>
      </w:r>
      <w:r>
        <w:rPr>
          <w:rFonts w:ascii="仿宋" w:hAnsi="仿宋" w:eastAsia="仿宋" w:cs="仿宋"/>
          <w:spacing w:val="7"/>
          <w:sz w:val="32"/>
          <w:szCs w:val="32"/>
        </w:rPr>
        <w:t>43%，主要农作物化肥利用率达到43%。</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3" w:firstLineChars="200"/>
        <w:jc w:val="both"/>
        <w:textAlignment w:val="baseline"/>
        <w:outlineLvl w:val="2"/>
        <w:rPr>
          <w:rFonts w:ascii="仿宋" w:hAnsi="仿宋" w:eastAsia="仿宋" w:cs="仿宋"/>
          <w:sz w:val="32"/>
          <w:szCs w:val="32"/>
        </w:rPr>
      </w:pPr>
      <w:bookmarkStart w:id="36" w:name="_Toc19348"/>
      <w:r>
        <w:rPr>
          <w:rFonts w:ascii="仿宋" w:hAnsi="仿宋" w:eastAsia="仿宋" w:cs="仿宋"/>
          <w:b/>
          <w:bCs/>
          <w:spacing w:val="5"/>
          <w:sz w:val="32"/>
          <w:szCs w:val="32"/>
        </w:rPr>
        <w:t>4.建设节水高效农业</w:t>
      </w:r>
      <w:bookmarkEnd w:id="36"/>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92" w:firstLineChars="200"/>
        <w:jc w:val="both"/>
        <w:textAlignment w:val="baseline"/>
        <w:rPr>
          <w:rFonts w:ascii="仿宋" w:hAnsi="仿宋" w:eastAsia="仿宋" w:cs="仿宋"/>
          <w:sz w:val="32"/>
          <w:szCs w:val="32"/>
        </w:rPr>
      </w:pPr>
      <w:r>
        <w:rPr>
          <w:rFonts w:ascii="仿宋" w:hAnsi="仿宋" w:eastAsia="仿宋" w:cs="仿宋"/>
          <w:spacing w:val="13"/>
          <w:sz w:val="32"/>
          <w:szCs w:val="32"/>
        </w:rPr>
        <w:t>积极推广农田高效节水灌溉模式，实施骨干灌排渠系节水改造工程。推进田间渠系改造建设，完善农田蓄水、引水、排</w:t>
      </w:r>
      <w:r>
        <w:rPr>
          <w:rFonts w:ascii="仿宋" w:hAnsi="仿宋" w:eastAsia="仿宋" w:cs="仿宋"/>
          <w:spacing w:val="14"/>
          <w:sz w:val="32"/>
          <w:szCs w:val="32"/>
        </w:rPr>
        <w:t>水设施，增加农田有效灌溉面积，切实提高水资源利用效率。</w:t>
      </w:r>
      <w:r>
        <w:rPr>
          <w:rFonts w:hint="eastAsia" w:ascii="仿宋" w:hAnsi="仿宋" w:eastAsia="仿宋" w:cs="仿宋"/>
          <w:spacing w:val="13"/>
          <w:sz w:val="32"/>
          <w:szCs w:val="32"/>
          <w:lang w:eastAsia="zh-CN"/>
        </w:rPr>
        <w:t>有效</w:t>
      </w:r>
      <w:r>
        <w:rPr>
          <w:rFonts w:ascii="仿宋" w:hAnsi="仿宋" w:eastAsia="仿宋" w:cs="仿宋"/>
          <w:spacing w:val="13"/>
          <w:sz w:val="32"/>
          <w:szCs w:val="32"/>
        </w:rPr>
        <w:t>控制地下水开采，大力普及管道输水、喷灌、滴灌和微灌</w:t>
      </w:r>
      <w:r>
        <w:rPr>
          <w:rFonts w:ascii="仿宋" w:hAnsi="仿宋" w:eastAsia="仿宋" w:cs="仿宋"/>
          <w:spacing w:val="5"/>
          <w:sz w:val="32"/>
          <w:szCs w:val="32"/>
        </w:rPr>
        <w:t>等高效节水灌溉技术，建立健全农业节水长效机制和</w:t>
      </w:r>
      <w:r>
        <w:rPr>
          <w:rFonts w:ascii="仿宋" w:hAnsi="仿宋" w:eastAsia="仿宋" w:cs="仿宋"/>
          <w:spacing w:val="4"/>
          <w:sz w:val="32"/>
          <w:szCs w:val="32"/>
        </w:rPr>
        <w:t>政策体系。</w:t>
      </w:r>
      <w:r>
        <w:rPr>
          <w:rFonts w:ascii="仿宋" w:hAnsi="仿宋" w:eastAsia="仿宋" w:cs="仿宋"/>
          <w:spacing w:val="5"/>
          <w:sz w:val="32"/>
          <w:szCs w:val="32"/>
        </w:rPr>
        <w:t>推进防汛抗旱基础设施建设，大力开展小型农田水利</w:t>
      </w:r>
      <w:r>
        <w:rPr>
          <w:rFonts w:ascii="仿宋" w:hAnsi="仿宋" w:eastAsia="仿宋" w:cs="仿宋"/>
          <w:spacing w:val="4"/>
          <w:sz w:val="32"/>
          <w:szCs w:val="32"/>
        </w:rPr>
        <w:t>工程建设，</w:t>
      </w:r>
      <w:r>
        <w:rPr>
          <w:rFonts w:ascii="仿宋" w:hAnsi="仿宋" w:eastAsia="仿宋" w:cs="仿宋"/>
          <w:spacing w:val="13"/>
          <w:sz w:val="32"/>
          <w:szCs w:val="32"/>
        </w:rPr>
        <w:t>进一步提高防汛抗旱和水资源配置能力，增强农业防灾抗灾减</w:t>
      </w:r>
      <w:r>
        <w:rPr>
          <w:rFonts w:ascii="仿宋" w:hAnsi="仿宋" w:eastAsia="仿宋" w:cs="仿宋"/>
          <w:spacing w:val="5"/>
          <w:sz w:val="32"/>
          <w:szCs w:val="32"/>
        </w:rPr>
        <w:t>灾能力。到2025年，农田灌溉水有效利用系数达到62%。</w:t>
      </w:r>
    </w:p>
    <w:p>
      <w:pPr>
        <w:keepNext w:val="0"/>
        <w:keepLines w:val="0"/>
        <w:pageBreakBefore w:val="0"/>
        <w:widowControl w:val="0"/>
        <w:kinsoku/>
        <w:wordWrap/>
        <w:overflowPunct w:val="0"/>
        <w:topLinePunct w:val="0"/>
        <w:bidi w:val="0"/>
        <w:adjustRightInd w:val="0"/>
        <w:snapToGrid w:val="0"/>
        <w:spacing w:line="360" w:lineRule="auto"/>
        <w:ind w:firstLine="643"/>
        <w:jc w:val="both"/>
        <w:rPr>
          <w:rFonts w:hint="eastAsia" w:cs="仿宋"/>
          <w:b/>
          <w:sz w:val="24"/>
          <w:szCs w:val="24"/>
        </w:rPr>
      </w:pPr>
    </w:p>
    <w:p>
      <w:pPr>
        <w:keepNext w:val="0"/>
        <w:keepLines w:val="0"/>
        <w:pageBreakBefore w:val="0"/>
        <w:widowControl w:val="0"/>
        <w:kinsoku/>
        <w:wordWrap/>
        <w:overflowPunct w:val="0"/>
        <w:topLinePunct w:val="0"/>
        <w:bidi w:val="0"/>
        <w:adjustRightInd w:val="0"/>
        <w:snapToGrid w:val="0"/>
        <w:spacing w:line="360" w:lineRule="auto"/>
        <w:ind w:firstLine="643"/>
        <w:jc w:val="center"/>
        <w:outlineLvl w:val="1"/>
        <w:rPr>
          <w:rFonts w:cs="仿宋"/>
          <w:b/>
          <w:sz w:val="24"/>
          <w:szCs w:val="24"/>
        </w:rPr>
      </w:pPr>
      <w:bookmarkStart w:id="37" w:name="_Toc20064"/>
      <w:r>
        <w:rPr>
          <w:rFonts w:hint="eastAsia" w:cs="仿宋"/>
          <w:b/>
          <w:sz w:val="24"/>
          <w:szCs w:val="24"/>
        </w:rPr>
        <w:t>专栏1</w:t>
      </w:r>
      <w:r>
        <w:rPr>
          <w:rFonts w:hint="eastAsia" w:eastAsia="宋体" w:cs="仿宋"/>
          <w:b/>
          <w:sz w:val="24"/>
          <w:szCs w:val="24"/>
          <w:lang w:val="en-US" w:eastAsia="zh-CN"/>
        </w:rPr>
        <w:t xml:space="preserve"> </w:t>
      </w:r>
      <w:r>
        <w:rPr>
          <w:rFonts w:hint="eastAsia" w:cs="仿宋"/>
          <w:b/>
          <w:bCs/>
          <w:color w:val="000000"/>
          <w:sz w:val="24"/>
          <w:szCs w:val="24"/>
        </w:rPr>
        <w:t>粮食稳产优质安全</w:t>
      </w:r>
      <w:r>
        <w:rPr>
          <w:rFonts w:hint="eastAsia" w:cs="仿宋"/>
          <w:b/>
          <w:sz w:val="24"/>
          <w:szCs w:val="24"/>
        </w:rPr>
        <w:t>重点项目</w:t>
      </w:r>
      <w:bookmarkEnd w:id="37"/>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2" w:hRule="atLeast"/>
          <w:jc w:val="center"/>
        </w:trPr>
        <w:tc>
          <w:tcPr>
            <w:tcW w:w="9241" w:type="dxa"/>
            <w:noWrap w:val="0"/>
            <w:vAlign w:val="top"/>
          </w:tcPr>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jc w:val="both"/>
              <w:textAlignment w:val="baseline"/>
              <w:rPr>
                <w:rFonts w:hint="eastAsia"/>
                <w:b/>
                <w:bCs/>
                <w:sz w:val="24"/>
                <w:szCs w:val="24"/>
              </w:rPr>
            </w:pPr>
            <w:r>
              <w:rPr>
                <w:rFonts w:hint="eastAsia"/>
                <w:b/>
                <w:bCs/>
                <w:sz w:val="24"/>
                <w:szCs w:val="24"/>
              </w:rPr>
              <w:t>1.高标准农田建设项目</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jc w:val="both"/>
              <w:textAlignment w:val="baseline"/>
              <w:rPr>
                <w:rFonts w:hint="eastAsia"/>
                <w:sz w:val="24"/>
                <w:szCs w:val="24"/>
              </w:rPr>
            </w:pPr>
            <w:r>
              <w:rPr>
                <w:rFonts w:hint="eastAsia"/>
                <w:sz w:val="24"/>
                <w:szCs w:val="24"/>
              </w:rPr>
              <w:t>项目总投资4亿元，在双辽市各乡镇街新建高标准农田30万亩。项目建成后，项目区亩产增收150-180公斤，抗旱能力得到显著提高。</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2" w:firstLineChars="200"/>
              <w:jc w:val="both"/>
              <w:textAlignment w:val="baseline"/>
              <w:rPr>
                <w:rFonts w:hint="eastAsia"/>
              </w:rPr>
            </w:pPr>
            <w:r>
              <w:rPr>
                <w:rFonts w:hint="eastAsia" w:eastAsia="宋体"/>
                <w:b/>
                <w:bCs/>
                <w:sz w:val="24"/>
                <w:szCs w:val="24"/>
                <w:lang w:val="en-US" w:eastAsia="zh-CN"/>
              </w:rPr>
              <w:t>2.</w:t>
            </w:r>
            <w:r>
              <w:rPr>
                <w:rFonts w:hint="eastAsia"/>
                <w:b/>
                <w:bCs/>
                <w:sz w:val="24"/>
                <w:szCs w:val="24"/>
              </w:rPr>
              <w:t>基层农技推广体系建设项目</w:t>
            </w:r>
          </w:p>
          <w:p>
            <w:pPr>
              <w:pStyle w:val="2"/>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jc w:val="both"/>
              <w:textAlignment w:val="baseline"/>
              <w:rPr>
                <w:rFonts w:hint="eastAsia"/>
                <w:sz w:val="24"/>
                <w:szCs w:val="24"/>
              </w:rPr>
            </w:pPr>
            <w:r>
              <w:rPr>
                <w:rFonts w:hint="eastAsia"/>
                <w:sz w:val="24"/>
                <w:szCs w:val="24"/>
              </w:rPr>
              <w:t>加强和完善基层农技推广体系建设，每年投资200万元左右，组建主推技术指导团队，培训基层农技人员，采取先进服务模式，重点围绕玉米、水稻、大豆、杂粮杂豆等主导产业，与科研院所、涉农企业、农业公司联合开展技术服务，打造2</w:t>
            </w:r>
            <w:r>
              <w:rPr>
                <w:rFonts w:hint="eastAsia"/>
                <w:sz w:val="24"/>
                <w:szCs w:val="24"/>
                <w:lang w:val="en-US" w:eastAsia="zh-CN"/>
              </w:rPr>
              <w:t>0</w:t>
            </w:r>
            <w:r>
              <w:rPr>
                <w:rFonts w:hint="eastAsia"/>
                <w:sz w:val="24"/>
                <w:szCs w:val="24"/>
              </w:rPr>
              <w:t>个以上县级农技推广示范基地。</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jc w:val="both"/>
              <w:textAlignment w:val="baseline"/>
              <w:rPr>
                <w:rFonts w:hint="eastAsia"/>
                <w:b/>
                <w:bCs/>
                <w:sz w:val="24"/>
                <w:szCs w:val="24"/>
              </w:rPr>
            </w:pPr>
            <w:r>
              <w:rPr>
                <w:rFonts w:hint="eastAsia"/>
                <w:b/>
                <w:bCs/>
                <w:sz w:val="24"/>
                <w:szCs w:val="24"/>
              </w:rPr>
              <w:t>3.农业生产防灾减灾工程</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jc w:val="both"/>
              <w:textAlignment w:val="baseline"/>
              <w:rPr>
                <w:rFonts w:hint="eastAsia" w:eastAsia="宋体"/>
                <w:sz w:val="24"/>
                <w:szCs w:val="24"/>
                <w:lang w:eastAsia="zh-CN"/>
              </w:rPr>
            </w:pPr>
            <w:r>
              <w:rPr>
                <w:rFonts w:hint="eastAsia"/>
                <w:sz w:val="24"/>
                <w:szCs w:val="24"/>
              </w:rPr>
              <w:t>每年投资340万元左右，主要用于农业生产防灾减灾。持续在水稻主产区开展生物防治水稻二化螟技术，推广减量控害精准施药技术，加强草地贪夜蛾监测布防、加快农作物重大病虫害监测与预报体系建设，实施测土配方施肥及化肥绿色增效等技术</w:t>
            </w:r>
            <w:r>
              <w:rPr>
                <w:rFonts w:hint="eastAsia" w:eastAsia="宋体"/>
                <w:sz w:val="24"/>
                <w:szCs w:val="24"/>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jc w:val="both"/>
              <w:textAlignment w:val="baseline"/>
              <w:rPr>
                <w:rFonts w:hint="eastAsia"/>
                <w:b/>
                <w:bCs/>
                <w:sz w:val="24"/>
                <w:szCs w:val="24"/>
              </w:rPr>
            </w:pPr>
            <w:r>
              <w:rPr>
                <w:rFonts w:hint="eastAsia"/>
                <w:b/>
                <w:bCs/>
                <w:sz w:val="24"/>
                <w:szCs w:val="24"/>
                <w:lang w:val="en-US" w:eastAsia="zh-CN"/>
              </w:rPr>
              <w:t>4.</w:t>
            </w:r>
            <w:r>
              <w:rPr>
                <w:rFonts w:hint="eastAsia"/>
                <w:b/>
                <w:bCs/>
                <w:sz w:val="24"/>
                <w:szCs w:val="24"/>
              </w:rPr>
              <w:t>玉米绿色高质高效生产项目</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jc w:val="both"/>
              <w:textAlignment w:val="baseline"/>
              <w:rPr>
                <w:rFonts w:hint="eastAsia"/>
                <w:sz w:val="24"/>
                <w:szCs w:val="24"/>
              </w:rPr>
            </w:pPr>
            <w:r>
              <w:rPr>
                <w:rFonts w:hint="eastAsia"/>
                <w:sz w:val="24"/>
                <w:szCs w:val="24"/>
              </w:rPr>
              <w:t>应用农业绿色高质高效技术模式打造万亩高质高效玉米示范片区5个，千亩示范片区20个，实现玉米集中连片亩产800公斤以上目标，辐射带动10万亩以上面积均衡增产。病虫害绿色防控全覆盖、危害损失率控制在5%以内，带动示范县节本增效5%以上。</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jc w:val="both"/>
              <w:textAlignment w:val="baseline"/>
              <w:rPr>
                <w:rFonts w:hint="eastAsia"/>
                <w:b/>
                <w:bCs/>
                <w:sz w:val="24"/>
                <w:szCs w:val="24"/>
              </w:rPr>
            </w:pPr>
            <w:r>
              <w:rPr>
                <w:rFonts w:hint="eastAsia"/>
                <w:b/>
                <w:bCs/>
                <w:sz w:val="24"/>
                <w:szCs w:val="24"/>
                <w:lang w:val="en-US" w:eastAsia="zh-CN"/>
              </w:rPr>
              <w:t>5</w:t>
            </w:r>
            <w:r>
              <w:rPr>
                <w:rFonts w:hint="eastAsia"/>
                <w:b/>
                <w:bCs/>
                <w:sz w:val="24"/>
                <w:szCs w:val="24"/>
              </w:rPr>
              <w:t>.双辽市黑土地保护利用项目</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jc w:val="both"/>
              <w:textAlignment w:val="baseline"/>
              <w:rPr>
                <w:rFonts w:hint="eastAsia"/>
              </w:rPr>
            </w:pPr>
            <w:r>
              <w:rPr>
                <w:rFonts w:hint="eastAsia"/>
                <w:sz w:val="24"/>
                <w:szCs w:val="24"/>
              </w:rPr>
              <w:t>总投资4000万元，对黑土地进行保护利用。建设内容包括深翻（深旋）+增施有机肥技术模式。项目实施后可使项目区耕地土壤有机质含量明显提高，有效解决项目区黑土变“瘦”、变“薄”、变“硬”等问题，持续改善提高黑土地耕地质量。</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jc w:val="both"/>
              <w:textAlignment w:val="baseline"/>
              <w:rPr>
                <w:rFonts w:hint="default" w:ascii="Arial" w:hAnsi="Arial" w:eastAsia="Arial" w:cs="仿宋"/>
                <w:b/>
                <w:bCs/>
                <w:snapToGrid w:val="0"/>
                <w:color w:val="000000"/>
                <w:kern w:val="21"/>
                <w:sz w:val="24"/>
                <w:szCs w:val="24"/>
                <w:highlight w:val="yellow"/>
                <w:lang w:val="en-US" w:eastAsia="zh-CN"/>
              </w:rPr>
            </w:pPr>
            <w:r>
              <w:rPr>
                <w:rFonts w:hint="eastAsia" w:cs="仿宋"/>
                <w:b/>
                <w:bCs/>
                <w:snapToGrid w:val="0"/>
                <w:color w:val="000000"/>
                <w:kern w:val="21"/>
                <w:sz w:val="24"/>
                <w:szCs w:val="24"/>
                <w:lang w:val="en-US" w:eastAsia="zh-CN"/>
              </w:rPr>
              <w:t>6.</w:t>
            </w:r>
            <w:r>
              <w:rPr>
                <w:rFonts w:hint="eastAsia" w:ascii="Arial" w:hAnsi="Arial" w:eastAsia="Arial" w:cs="仿宋"/>
                <w:b/>
                <w:bCs/>
                <w:snapToGrid w:val="0"/>
                <w:color w:val="000000"/>
                <w:kern w:val="21"/>
                <w:sz w:val="24"/>
                <w:szCs w:val="24"/>
                <w:lang w:val="zh-CN" w:eastAsia="zh-CN"/>
              </w:rPr>
              <w:t>吉林黑松土科技有限公司</w:t>
            </w:r>
            <w:r>
              <w:rPr>
                <w:rFonts w:hint="eastAsia" w:ascii="Arial" w:hAnsi="Arial" w:eastAsia="Arial" w:cs="仿宋"/>
                <w:b/>
                <w:bCs/>
                <w:snapToGrid w:val="0"/>
                <w:color w:val="000000"/>
                <w:kern w:val="21"/>
                <w:sz w:val="24"/>
                <w:szCs w:val="24"/>
                <w:lang w:eastAsia="zh-CN"/>
              </w:rPr>
              <w:t>绿色智能缓控释肥生产项目</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jc w:val="both"/>
              <w:textAlignment w:val="baseline"/>
              <w:rPr>
                <w:rFonts w:hint="default"/>
                <w:sz w:val="24"/>
                <w:szCs w:val="24"/>
                <w:lang w:val="en-US" w:eastAsia="zh-CN"/>
              </w:rPr>
            </w:pPr>
            <w:r>
              <w:rPr>
                <w:rFonts w:hint="eastAsia"/>
                <w:sz w:val="24"/>
                <w:szCs w:val="24"/>
                <w:lang w:val="zh-CN" w:eastAsia="zh-CN"/>
              </w:rPr>
              <w:t>吉林黑松土科技有限公司</w:t>
            </w:r>
            <w:r>
              <w:rPr>
                <w:rFonts w:hint="eastAsia"/>
                <w:sz w:val="24"/>
                <w:szCs w:val="24"/>
                <w:lang w:eastAsia="zh-CN"/>
              </w:rPr>
              <w:t>投资2.74亿元，占地面积69556平方米，建筑面积37160平方米。主要生产功能型掺混肥料、复合肥料、有机—无机复混肥料。一期建设2条生产线，设计产能40万吨；二期建设3条生产线，设计产能40万吨。从工厂落地到建造进程的深入，吉林农大生态已经在提供就业、原料采购、物流带动等方面为当地持续“造血”；全面投产后，将给区域内种植户提供性价比更高的新型产品，也将带动地区相关交通运输业、彩印包装业的发展。</w:t>
            </w:r>
          </w:p>
          <w:p>
            <w:pPr>
              <w:pStyle w:val="2"/>
              <w:keepNext w:val="0"/>
              <w:keepLines w:val="0"/>
              <w:pageBreakBefore w:val="0"/>
              <w:widowControl w:val="0"/>
              <w:kinsoku/>
              <w:wordWrap/>
              <w:overflowPunct w:val="0"/>
              <w:topLinePunct w:val="0"/>
              <w:bidi w:val="0"/>
              <w:jc w:val="both"/>
              <w:rPr>
                <w:rFonts w:hint="eastAsia"/>
                <w:sz w:val="24"/>
                <w:szCs w:val="24"/>
              </w:rPr>
            </w:pPr>
          </w:p>
        </w:tc>
      </w:tr>
    </w:tbl>
    <w:p>
      <w:pPr>
        <w:pStyle w:val="4"/>
        <w:keepNext w:val="0"/>
        <w:keepLines w:val="0"/>
        <w:pageBreakBefore w:val="0"/>
        <w:widowControl w:val="0"/>
        <w:kinsoku/>
        <w:wordWrap/>
        <w:overflowPunct w:val="0"/>
        <w:topLinePunct w:val="0"/>
        <w:bidi w:val="0"/>
        <w:jc w:val="both"/>
      </w:pPr>
    </w:p>
    <w:p>
      <w:pPr>
        <w:keepNext w:val="0"/>
        <w:keepLines w:val="0"/>
        <w:pageBreakBefore w:val="0"/>
        <w:widowControl w:val="0"/>
        <w:kinsoku/>
        <w:wordWrap/>
        <w:overflowPunct w:val="0"/>
        <w:topLinePunct w:val="0"/>
        <w:bidi w:val="0"/>
        <w:jc w:val="both"/>
        <w:sectPr>
          <w:footerReference r:id="rId12" w:type="default"/>
          <w:pgSz w:w="11906" w:h="16839"/>
          <w:pgMar w:top="1417" w:right="1587" w:bottom="1417" w:left="1587" w:header="0" w:footer="109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38" w:name="bookmark25"/>
      <w:bookmarkEnd w:id="38"/>
      <w:bookmarkStart w:id="39" w:name="_Toc7517"/>
      <w:r>
        <w:rPr>
          <w:rFonts w:ascii="楷体" w:hAnsi="楷体" w:eastAsia="楷体" w:cs="楷体"/>
          <w:spacing w:val="0"/>
          <w:sz w:val="32"/>
          <w:szCs w:val="32"/>
        </w:rPr>
        <w:t>（二）推进畜牧业提质增效</w:t>
      </w:r>
      <w:bookmarkEnd w:id="39"/>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36" w:firstLineChars="200"/>
        <w:jc w:val="both"/>
        <w:textAlignment w:val="baseline"/>
        <w:rPr>
          <w:rFonts w:ascii="仿宋" w:hAnsi="仿宋" w:eastAsia="仿宋" w:cs="仿宋"/>
          <w:sz w:val="31"/>
          <w:szCs w:val="31"/>
        </w:rPr>
      </w:pPr>
      <w:r>
        <w:rPr>
          <w:rFonts w:ascii="仿宋" w:hAnsi="仿宋" w:eastAsia="仿宋" w:cs="仿宋"/>
          <w:spacing w:val="4"/>
          <w:sz w:val="31"/>
          <w:szCs w:val="31"/>
        </w:rPr>
        <w:t>加快推进畜牧业强市建设，坚持扩规模、调结构、重防疫、</w:t>
      </w:r>
      <w:r>
        <w:rPr>
          <w:rFonts w:ascii="仿宋" w:hAnsi="仿宋" w:eastAsia="仿宋" w:cs="仿宋"/>
          <w:spacing w:val="12"/>
          <w:sz w:val="31"/>
          <w:szCs w:val="31"/>
        </w:rPr>
        <w:t>强生态、促融合，构建现代畜牧业绿色生产体系、防疫体系和</w:t>
      </w:r>
      <w:r>
        <w:rPr>
          <w:rFonts w:ascii="仿宋" w:hAnsi="仿宋" w:eastAsia="仿宋" w:cs="仿宋"/>
          <w:spacing w:val="5"/>
          <w:sz w:val="31"/>
          <w:szCs w:val="31"/>
        </w:rPr>
        <w:t>经营体系，促进畜牧业高质量发展。到2025年，全市畜禽养殖</w:t>
      </w:r>
      <w:r>
        <w:rPr>
          <w:rFonts w:ascii="仿宋" w:hAnsi="仿宋" w:eastAsia="仿宋" w:cs="仿宋"/>
          <w:spacing w:val="3"/>
          <w:sz w:val="31"/>
          <w:szCs w:val="31"/>
        </w:rPr>
        <w:t>规模化率达到47%，畜禽养殖总量发展到1206.5万头(只)，肉</w:t>
      </w:r>
      <w:r>
        <w:rPr>
          <w:rFonts w:ascii="仿宋" w:hAnsi="仿宋" w:eastAsia="仿宋" w:cs="仿宋"/>
          <w:spacing w:val="1"/>
          <w:sz w:val="31"/>
          <w:szCs w:val="31"/>
        </w:rPr>
        <w:t>蛋奶产量达到13.6万吨。</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34" w:firstLineChars="200"/>
        <w:jc w:val="both"/>
        <w:textAlignment w:val="baseline"/>
        <w:outlineLvl w:val="2"/>
        <w:rPr>
          <w:rFonts w:ascii="仿宋" w:hAnsi="仿宋" w:eastAsia="仿宋" w:cs="仿宋"/>
          <w:sz w:val="31"/>
          <w:szCs w:val="31"/>
        </w:rPr>
      </w:pPr>
      <w:bookmarkStart w:id="40" w:name="_Toc24884"/>
      <w:r>
        <w:rPr>
          <w:rFonts w:ascii="仿宋" w:hAnsi="仿宋" w:eastAsia="仿宋" w:cs="仿宋"/>
          <w:b/>
          <w:bCs/>
          <w:spacing w:val="3"/>
          <w:sz w:val="31"/>
          <w:szCs w:val="31"/>
        </w:rPr>
        <w:t>1.优化畜牧业养殖结构</w:t>
      </w:r>
      <w:bookmarkEnd w:id="40"/>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60" w:firstLineChars="200"/>
        <w:jc w:val="both"/>
        <w:textAlignment w:val="baseline"/>
        <w:rPr>
          <w:rFonts w:ascii="仿宋" w:hAnsi="仿宋" w:eastAsia="仿宋" w:cs="仿宋"/>
          <w:sz w:val="31"/>
          <w:szCs w:val="31"/>
        </w:rPr>
      </w:pPr>
      <w:r>
        <w:rPr>
          <w:rFonts w:ascii="仿宋" w:hAnsi="仿宋" w:eastAsia="仿宋" w:cs="仿宋"/>
          <w:spacing w:val="10"/>
          <w:sz w:val="31"/>
          <w:szCs w:val="31"/>
        </w:rPr>
        <w:t>坚持以市场为导向，依据资源环境承载能力</w:t>
      </w:r>
      <w:r>
        <w:rPr>
          <w:rFonts w:ascii="仿宋" w:hAnsi="仿宋" w:eastAsia="仿宋" w:cs="仿宋"/>
          <w:spacing w:val="9"/>
          <w:sz w:val="31"/>
          <w:szCs w:val="31"/>
        </w:rPr>
        <w:t>，因地制宜发</w:t>
      </w:r>
      <w:r>
        <w:rPr>
          <w:rFonts w:ascii="仿宋" w:hAnsi="仿宋" w:eastAsia="仿宋" w:cs="仿宋"/>
          <w:spacing w:val="7"/>
          <w:sz w:val="31"/>
          <w:szCs w:val="31"/>
        </w:rPr>
        <w:t>展畜牧业，不断优化畜牧业养殖结构，形成以发展生</w:t>
      </w:r>
      <w:r>
        <w:rPr>
          <w:rFonts w:ascii="仿宋" w:hAnsi="仿宋" w:eastAsia="仿宋" w:cs="仿宋"/>
          <w:spacing w:val="6"/>
          <w:sz w:val="31"/>
          <w:szCs w:val="31"/>
        </w:rPr>
        <w:t>猪、肉牛、</w:t>
      </w:r>
      <w:r>
        <w:rPr>
          <w:rFonts w:ascii="仿宋" w:hAnsi="仿宋" w:eastAsia="仿宋" w:cs="仿宋"/>
          <w:spacing w:val="10"/>
          <w:sz w:val="31"/>
          <w:szCs w:val="31"/>
        </w:rPr>
        <w:t>肉羊、禽类养殖为主，以发展经济动物为辅的养殖格局。加强</w:t>
      </w:r>
      <w:r>
        <w:rPr>
          <w:rFonts w:ascii="仿宋" w:hAnsi="仿宋" w:eastAsia="仿宋" w:cs="仿宋"/>
          <w:spacing w:val="13"/>
          <w:sz w:val="31"/>
          <w:szCs w:val="31"/>
        </w:rPr>
        <w:t>优良畜禽品种引进和本地畜禽品种改良，积极推广先</w:t>
      </w:r>
      <w:r>
        <w:rPr>
          <w:rFonts w:ascii="仿宋" w:hAnsi="仿宋" w:eastAsia="仿宋" w:cs="仿宋"/>
          <w:spacing w:val="12"/>
          <w:sz w:val="31"/>
          <w:szCs w:val="31"/>
        </w:rPr>
        <w:t>进的繁育</w:t>
      </w:r>
      <w:r>
        <w:rPr>
          <w:rFonts w:ascii="仿宋" w:hAnsi="仿宋" w:eastAsia="仿宋" w:cs="仿宋"/>
          <w:spacing w:val="13"/>
          <w:sz w:val="31"/>
          <w:szCs w:val="31"/>
        </w:rPr>
        <w:t>和养殖技术，不断扩大优良品种的养殖规模，加强技</w:t>
      </w:r>
      <w:r>
        <w:rPr>
          <w:rFonts w:ascii="仿宋" w:hAnsi="仿宋" w:eastAsia="仿宋" w:cs="仿宋"/>
          <w:spacing w:val="12"/>
          <w:sz w:val="31"/>
          <w:szCs w:val="31"/>
        </w:rPr>
        <w:t>术人员培</w:t>
      </w:r>
      <w:r>
        <w:rPr>
          <w:rFonts w:ascii="仿宋" w:hAnsi="仿宋" w:eastAsia="仿宋" w:cs="仿宋"/>
          <w:spacing w:val="7"/>
          <w:sz w:val="31"/>
          <w:szCs w:val="31"/>
        </w:rPr>
        <w:t>训和队伍建设，推进畜禽标准化、规模化养殖基地及</w:t>
      </w:r>
      <w:r>
        <w:rPr>
          <w:rFonts w:ascii="仿宋" w:hAnsi="仿宋" w:eastAsia="仿宋" w:cs="仿宋"/>
          <w:spacing w:val="6"/>
          <w:sz w:val="31"/>
          <w:szCs w:val="31"/>
        </w:rPr>
        <w:t>小区（场）</w:t>
      </w:r>
      <w:r>
        <w:rPr>
          <w:rFonts w:ascii="仿宋" w:hAnsi="仿宋" w:eastAsia="仿宋" w:cs="仿宋"/>
          <w:spacing w:val="-3"/>
          <w:sz w:val="31"/>
          <w:szCs w:val="31"/>
        </w:rPr>
        <w:t>的建设。到2025年，畜禽规模化养殖基地及小区（场）达</w:t>
      </w:r>
      <w:r>
        <w:rPr>
          <w:rFonts w:ascii="仿宋" w:hAnsi="仿宋" w:eastAsia="仿宋" w:cs="仿宋"/>
          <w:spacing w:val="-4"/>
          <w:sz w:val="31"/>
          <w:szCs w:val="31"/>
        </w:rPr>
        <w:t>到205</w:t>
      </w:r>
      <w:r>
        <w:rPr>
          <w:rFonts w:ascii="仿宋" w:hAnsi="仿宋" w:eastAsia="仿宋" w:cs="仿宋"/>
          <w:spacing w:val="-2"/>
          <w:sz w:val="31"/>
          <w:szCs w:val="31"/>
        </w:rPr>
        <w:t>个。</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42" w:firstLineChars="200"/>
        <w:jc w:val="both"/>
        <w:textAlignment w:val="baseline"/>
        <w:outlineLvl w:val="2"/>
        <w:rPr>
          <w:rFonts w:ascii="仿宋" w:hAnsi="仿宋" w:eastAsia="仿宋" w:cs="仿宋"/>
          <w:sz w:val="31"/>
          <w:szCs w:val="31"/>
        </w:rPr>
      </w:pPr>
      <w:bookmarkStart w:id="41" w:name="_Toc7801"/>
      <w:r>
        <w:rPr>
          <w:rFonts w:ascii="仿宋" w:hAnsi="仿宋" w:eastAsia="仿宋" w:cs="仿宋"/>
          <w:b/>
          <w:bCs/>
          <w:spacing w:val="5"/>
          <w:sz w:val="31"/>
          <w:szCs w:val="31"/>
        </w:rPr>
        <w:t>2.扩大肉牛肉羊养殖规模</w:t>
      </w:r>
      <w:bookmarkEnd w:id="41"/>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52" w:firstLineChars="200"/>
        <w:jc w:val="both"/>
        <w:textAlignment w:val="baseline"/>
        <w:rPr>
          <w:rFonts w:ascii="仿宋" w:hAnsi="仿宋" w:eastAsia="仿宋" w:cs="仿宋"/>
          <w:sz w:val="31"/>
          <w:szCs w:val="31"/>
        </w:rPr>
      </w:pPr>
      <w:r>
        <w:rPr>
          <w:rFonts w:ascii="仿宋" w:hAnsi="仿宋" w:eastAsia="仿宋" w:cs="仿宋"/>
          <w:spacing w:val="8"/>
          <w:sz w:val="31"/>
          <w:szCs w:val="31"/>
        </w:rPr>
        <w:t>深入实施“秸秆变肉”暨千万头肉牛工程，强化规模养殖</w:t>
      </w:r>
      <w:r>
        <w:rPr>
          <w:rFonts w:ascii="仿宋" w:hAnsi="仿宋" w:eastAsia="仿宋" w:cs="仿宋"/>
          <w:spacing w:val="10"/>
          <w:sz w:val="31"/>
          <w:szCs w:val="31"/>
        </w:rPr>
        <w:t>和育肥体系建设，推进肉牛羊良种繁育体系，支持肉牛、肉羊养殖大村退户入园和集中舍饲育肥，制定肉牛、肉羊科学饲喂标准，鼓励养殖场（户）改善基础设施条件，扩大养殖规模，</w:t>
      </w:r>
      <w:r>
        <w:rPr>
          <w:rFonts w:ascii="仿宋" w:hAnsi="仿宋" w:eastAsia="仿宋" w:cs="仿宋"/>
          <w:spacing w:val="13"/>
          <w:sz w:val="31"/>
          <w:szCs w:val="31"/>
        </w:rPr>
        <w:t>推进牛羊养殖标准化示范创建，发挥示范带动效应。提高农作物秸秆转化利用率，增强秸秆处理饲用能力，适当增加饲用玉米种植面积，提高青贮饲料规模，加快构建秸秆粗饲料生产供</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20" w:firstLineChars="200"/>
        <w:jc w:val="both"/>
        <w:textAlignment w:val="baseline"/>
        <w:rPr>
          <w:rFonts w:ascii="仿宋" w:hAnsi="仿宋" w:eastAsia="仿宋" w:cs="仿宋"/>
          <w:sz w:val="31"/>
          <w:szCs w:val="31"/>
        </w:rPr>
        <w:sectPr>
          <w:footerReference r:id="rId13" w:type="default"/>
          <w:pgSz w:w="11906" w:h="16839"/>
          <w:pgMar w:top="1417" w:right="1587" w:bottom="1417" w:left="1587" w:header="0" w:footer="109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val="0"/>
        <w:bidi w:val="0"/>
        <w:adjustRightInd w:val="0"/>
        <w:snapToGrid w:val="0"/>
        <w:spacing w:line="579" w:lineRule="exact"/>
        <w:ind w:right="0"/>
        <w:jc w:val="both"/>
        <w:textAlignment w:val="baseline"/>
        <w:rPr>
          <w:rFonts w:ascii="仿宋" w:hAnsi="仿宋" w:eastAsia="仿宋" w:cs="仿宋"/>
          <w:sz w:val="31"/>
          <w:szCs w:val="31"/>
        </w:rPr>
      </w:pPr>
      <w:r>
        <w:rPr>
          <w:rFonts w:ascii="仿宋" w:hAnsi="仿宋" w:eastAsia="仿宋" w:cs="仿宋"/>
          <w:spacing w:val="8"/>
          <w:sz w:val="31"/>
          <w:szCs w:val="31"/>
        </w:rPr>
        <w:t>应体系。到2025年，双辽市肉牛养殖量达到45万头，其中基</w:t>
      </w:r>
      <w:r>
        <w:rPr>
          <w:rFonts w:ascii="仿宋" w:hAnsi="仿宋" w:eastAsia="仿宋" w:cs="仿宋"/>
          <w:spacing w:val="4"/>
          <w:sz w:val="31"/>
          <w:szCs w:val="31"/>
        </w:rPr>
        <w:t>础母牛数量达到13万头、育肥牛年出栏18.5万头；肉羊养殖</w:t>
      </w:r>
      <w:r>
        <w:rPr>
          <w:rFonts w:ascii="仿宋" w:hAnsi="仿宋" w:eastAsia="仿宋" w:cs="仿宋"/>
          <w:spacing w:val="2"/>
          <w:sz w:val="31"/>
          <w:szCs w:val="31"/>
        </w:rPr>
        <w:t>量超过100万只，肉羊年出栏量达到55万只。标准化规模养殖</w:t>
      </w:r>
      <w:r>
        <w:rPr>
          <w:rFonts w:ascii="仿宋" w:hAnsi="仿宋" w:eastAsia="仿宋" w:cs="仿宋"/>
          <w:sz w:val="31"/>
          <w:szCs w:val="31"/>
        </w:rPr>
        <w:t>场（小区）达到160个。良种覆盖率达到10</w:t>
      </w:r>
      <w:r>
        <w:rPr>
          <w:rFonts w:ascii="仿宋" w:hAnsi="仿宋" w:eastAsia="仿宋" w:cs="仿宋"/>
          <w:spacing w:val="-1"/>
          <w:sz w:val="31"/>
          <w:szCs w:val="31"/>
        </w:rPr>
        <w:t>0%。肉牛示范乡镇</w:t>
      </w:r>
      <w:r>
        <w:rPr>
          <w:rFonts w:ascii="仿宋" w:hAnsi="仿宋" w:eastAsia="仿宋" w:cs="仿宋"/>
          <w:spacing w:val="3"/>
          <w:sz w:val="31"/>
          <w:szCs w:val="31"/>
        </w:rPr>
        <w:t>达到6个，肉牛示范村达到25个，肉羊示范村达到20个。秸</w:t>
      </w:r>
      <w:r>
        <w:rPr>
          <w:rFonts w:ascii="仿宋" w:hAnsi="仿宋" w:eastAsia="仿宋" w:cs="仿宋"/>
          <w:spacing w:val="4"/>
          <w:sz w:val="31"/>
          <w:szCs w:val="31"/>
        </w:rPr>
        <w:t>秆饲料化利用量达到60万吨。</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42" w:firstLineChars="200"/>
        <w:jc w:val="both"/>
        <w:textAlignment w:val="baseline"/>
        <w:outlineLvl w:val="2"/>
        <w:rPr>
          <w:rFonts w:ascii="仿宋" w:hAnsi="仿宋" w:eastAsia="仿宋" w:cs="仿宋"/>
          <w:sz w:val="31"/>
          <w:szCs w:val="31"/>
        </w:rPr>
      </w:pPr>
      <w:bookmarkStart w:id="42" w:name="_Toc15039"/>
      <w:r>
        <w:rPr>
          <w:rFonts w:ascii="仿宋" w:hAnsi="仿宋" w:eastAsia="仿宋" w:cs="仿宋"/>
          <w:b/>
          <w:bCs/>
          <w:spacing w:val="5"/>
          <w:sz w:val="31"/>
          <w:szCs w:val="31"/>
        </w:rPr>
        <w:t>3.推进动物防疫体系建设</w:t>
      </w:r>
      <w:bookmarkEnd w:id="42"/>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60" w:firstLineChars="200"/>
        <w:jc w:val="both"/>
        <w:textAlignment w:val="baseline"/>
        <w:rPr>
          <w:rFonts w:ascii="仿宋" w:hAnsi="仿宋" w:eastAsia="仿宋" w:cs="仿宋"/>
          <w:sz w:val="31"/>
          <w:szCs w:val="31"/>
        </w:rPr>
      </w:pPr>
      <w:r>
        <w:rPr>
          <w:rFonts w:ascii="仿宋" w:hAnsi="仿宋" w:eastAsia="仿宋" w:cs="仿宋"/>
          <w:spacing w:val="10"/>
          <w:sz w:val="31"/>
          <w:szCs w:val="31"/>
        </w:rPr>
        <w:t>提升动物疫病防控能力。落实动物养殖、运输、屠宰加工</w:t>
      </w:r>
      <w:r>
        <w:rPr>
          <w:rFonts w:ascii="仿宋" w:hAnsi="仿宋" w:eastAsia="仿宋" w:cs="仿宋"/>
          <w:spacing w:val="13"/>
          <w:sz w:val="31"/>
          <w:szCs w:val="31"/>
        </w:rPr>
        <w:t>等各环节从业者动物防疫主体责任，健全动物疫病防</w:t>
      </w:r>
      <w:r>
        <w:rPr>
          <w:rFonts w:ascii="仿宋" w:hAnsi="仿宋" w:eastAsia="仿宋" w:cs="仿宋"/>
          <w:spacing w:val="12"/>
          <w:sz w:val="31"/>
          <w:szCs w:val="31"/>
        </w:rPr>
        <w:t>控长效机</w:t>
      </w:r>
      <w:r>
        <w:rPr>
          <w:rFonts w:ascii="仿宋" w:hAnsi="仿宋" w:eastAsia="仿宋" w:cs="仿宋"/>
          <w:spacing w:val="13"/>
          <w:sz w:val="31"/>
          <w:szCs w:val="31"/>
        </w:rPr>
        <w:t>制，完善强制免疫、监测预警、动物卫生监督监管等</w:t>
      </w:r>
      <w:r>
        <w:rPr>
          <w:rFonts w:ascii="仿宋" w:hAnsi="仿宋" w:eastAsia="仿宋" w:cs="仿宋"/>
          <w:spacing w:val="12"/>
          <w:sz w:val="31"/>
          <w:szCs w:val="31"/>
        </w:rPr>
        <w:t>动物疫病</w:t>
      </w:r>
      <w:r>
        <w:rPr>
          <w:rFonts w:ascii="仿宋" w:hAnsi="仿宋" w:eastAsia="仿宋" w:cs="仿宋"/>
          <w:spacing w:val="10"/>
          <w:sz w:val="31"/>
          <w:szCs w:val="31"/>
        </w:rPr>
        <w:t>防控体系建设。完善健全重大动物疫情监测排查机制。加快推</w:t>
      </w:r>
      <w:r>
        <w:rPr>
          <w:rFonts w:ascii="仿宋" w:hAnsi="仿宋" w:eastAsia="仿宋" w:cs="仿宋"/>
          <w:spacing w:val="13"/>
          <w:sz w:val="31"/>
          <w:szCs w:val="31"/>
        </w:rPr>
        <w:t>进动物疫病防治信息化管理平台和标识溯源系统建设</w:t>
      </w:r>
      <w:r>
        <w:rPr>
          <w:rFonts w:ascii="仿宋" w:hAnsi="仿宋" w:eastAsia="仿宋" w:cs="仿宋"/>
          <w:spacing w:val="12"/>
          <w:sz w:val="31"/>
          <w:szCs w:val="31"/>
        </w:rPr>
        <w:t>，加强病</w:t>
      </w:r>
      <w:r>
        <w:rPr>
          <w:rFonts w:ascii="仿宋" w:hAnsi="仿宋" w:eastAsia="仿宋" w:cs="仿宋"/>
          <w:spacing w:val="5"/>
          <w:sz w:val="31"/>
          <w:szCs w:val="31"/>
        </w:rPr>
        <w:t>死畜禽无害化处理，区域内病死畜禽处理能力达</w:t>
      </w:r>
      <w:r>
        <w:rPr>
          <w:rFonts w:ascii="仿宋" w:hAnsi="仿宋" w:eastAsia="仿宋" w:cs="仿宋"/>
          <w:spacing w:val="4"/>
          <w:sz w:val="31"/>
          <w:szCs w:val="31"/>
        </w:rPr>
        <w:t>到3600吨，提</w:t>
      </w:r>
      <w:r>
        <w:rPr>
          <w:rFonts w:ascii="仿宋" w:hAnsi="仿宋" w:eastAsia="仿宋" w:cs="仿宋"/>
          <w:spacing w:val="9"/>
          <w:sz w:val="31"/>
          <w:szCs w:val="31"/>
        </w:rPr>
        <w:t>升动物疫病应急处置能力，确保不发生区域性重大动物疫情。</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46" w:firstLineChars="200"/>
        <w:jc w:val="both"/>
        <w:textAlignment w:val="baseline"/>
        <w:outlineLvl w:val="2"/>
        <w:rPr>
          <w:rFonts w:ascii="仿宋" w:hAnsi="仿宋" w:eastAsia="仿宋" w:cs="仿宋"/>
          <w:sz w:val="31"/>
          <w:szCs w:val="31"/>
        </w:rPr>
      </w:pPr>
      <w:bookmarkStart w:id="43" w:name="_Toc24158"/>
      <w:r>
        <w:rPr>
          <w:rFonts w:ascii="仿宋" w:hAnsi="仿宋" w:eastAsia="仿宋" w:cs="仿宋"/>
          <w:b/>
          <w:bCs/>
          <w:spacing w:val="6"/>
          <w:sz w:val="31"/>
          <w:szCs w:val="31"/>
        </w:rPr>
        <w:t>4.构建现代加工流通体系</w:t>
      </w:r>
      <w:bookmarkEnd w:id="43"/>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不断拓展畜禽深加工产业链条，推动畜禽就地</w:t>
      </w:r>
      <w:r>
        <w:rPr>
          <w:rFonts w:ascii="仿宋" w:hAnsi="仿宋" w:eastAsia="仿宋" w:cs="仿宋"/>
          <w:spacing w:val="12"/>
          <w:sz w:val="31"/>
          <w:szCs w:val="31"/>
        </w:rPr>
        <w:t>屠宰加工，</w:t>
      </w:r>
      <w:r>
        <w:rPr>
          <w:rFonts w:ascii="仿宋" w:hAnsi="仿宋" w:eastAsia="仿宋" w:cs="仿宋"/>
          <w:spacing w:val="13"/>
          <w:sz w:val="31"/>
          <w:szCs w:val="31"/>
        </w:rPr>
        <w:t>重点发展冷鲜肉、西式肉制品、功能性肉制品、休闲</w:t>
      </w:r>
      <w:r>
        <w:rPr>
          <w:rFonts w:ascii="仿宋" w:hAnsi="仿宋" w:eastAsia="仿宋" w:cs="仿宋"/>
          <w:spacing w:val="12"/>
          <w:sz w:val="31"/>
          <w:szCs w:val="31"/>
        </w:rPr>
        <w:t>肉制品和</w:t>
      </w:r>
      <w:r>
        <w:rPr>
          <w:rFonts w:ascii="仿宋" w:hAnsi="仿宋" w:eastAsia="仿宋" w:cs="仿宋"/>
          <w:spacing w:val="13"/>
          <w:sz w:val="31"/>
          <w:szCs w:val="31"/>
        </w:rPr>
        <w:t>调理肉制品等，深度开发高科技生物制品及畜禽内脏</w:t>
      </w:r>
      <w:r>
        <w:rPr>
          <w:rFonts w:ascii="仿宋" w:hAnsi="仿宋" w:eastAsia="仿宋" w:cs="仿宋"/>
          <w:spacing w:val="12"/>
          <w:sz w:val="31"/>
          <w:szCs w:val="31"/>
        </w:rPr>
        <w:t>、肥膘及</w:t>
      </w:r>
      <w:r>
        <w:rPr>
          <w:rFonts w:ascii="仿宋" w:hAnsi="仿宋" w:eastAsia="仿宋" w:cs="仿宋"/>
          <w:spacing w:val="13"/>
          <w:sz w:val="31"/>
          <w:szCs w:val="31"/>
        </w:rPr>
        <w:t>毛、骨、血资源的综合利用。加快推进双辽市肉羊养</w:t>
      </w:r>
      <w:r>
        <w:rPr>
          <w:rFonts w:ascii="仿宋" w:hAnsi="仿宋" w:eastAsia="仿宋" w:cs="仿宋"/>
          <w:spacing w:val="12"/>
          <w:sz w:val="31"/>
          <w:szCs w:val="31"/>
        </w:rPr>
        <w:t>殖及屠宰</w:t>
      </w:r>
      <w:r>
        <w:rPr>
          <w:rFonts w:ascii="仿宋" w:hAnsi="仿宋" w:eastAsia="仿宋" w:cs="仿宋"/>
          <w:spacing w:val="13"/>
          <w:sz w:val="31"/>
          <w:szCs w:val="31"/>
        </w:rPr>
        <w:t>等项目建设。健全畜禽产品冷链加工配送体系。鼓励</w:t>
      </w:r>
      <w:r>
        <w:rPr>
          <w:rFonts w:ascii="仿宋" w:hAnsi="仿宋" w:eastAsia="仿宋" w:cs="仿宋"/>
          <w:spacing w:val="12"/>
          <w:sz w:val="31"/>
          <w:szCs w:val="31"/>
        </w:rPr>
        <w:t>屠宰加工</w:t>
      </w:r>
      <w:r>
        <w:rPr>
          <w:rFonts w:ascii="仿宋" w:hAnsi="仿宋" w:eastAsia="仿宋" w:cs="仿宋"/>
          <w:spacing w:val="13"/>
          <w:sz w:val="31"/>
          <w:szCs w:val="31"/>
        </w:rPr>
        <w:t>企业建设冷库、低温分割车间等冷藏加工设施，配置</w:t>
      </w:r>
      <w:r>
        <w:rPr>
          <w:rFonts w:ascii="仿宋" w:hAnsi="仿宋" w:eastAsia="仿宋" w:cs="仿宋"/>
          <w:spacing w:val="12"/>
          <w:sz w:val="31"/>
          <w:szCs w:val="31"/>
        </w:rPr>
        <w:t>冷链运输</w:t>
      </w:r>
      <w:r>
        <w:rPr>
          <w:rFonts w:ascii="仿宋" w:hAnsi="仿宋" w:eastAsia="仿宋" w:cs="仿宋"/>
          <w:spacing w:val="9"/>
          <w:sz w:val="31"/>
          <w:szCs w:val="31"/>
        </w:rPr>
        <w:t>设备。推动物流配送企业完善冷链配送及网络销售体系建设。</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42" w:firstLineChars="200"/>
        <w:jc w:val="both"/>
        <w:textAlignment w:val="baseline"/>
        <w:outlineLvl w:val="2"/>
        <w:rPr>
          <w:rFonts w:ascii="仿宋" w:hAnsi="仿宋" w:eastAsia="仿宋" w:cs="仿宋"/>
          <w:sz w:val="31"/>
          <w:szCs w:val="31"/>
        </w:rPr>
      </w:pPr>
      <w:bookmarkStart w:id="105" w:name="_GoBack"/>
      <w:bookmarkEnd w:id="105"/>
      <w:bookmarkStart w:id="44" w:name="_Toc27681"/>
      <w:r>
        <w:rPr>
          <w:rFonts w:ascii="仿宋" w:hAnsi="仿宋" w:eastAsia="仿宋" w:cs="仿宋"/>
          <w:b/>
          <w:bCs/>
          <w:spacing w:val="5"/>
          <w:sz w:val="31"/>
          <w:szCs w:val="31"/>
        </w:rPr>
        <w:t>5.实施农牧生态循环发展</w:t>
      </w:r>
      <w:bookmarkEnd w:id="44"/>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20" w:firstLineChars="200"/>
        <w:jc w:val="both"/>
        <w:textAlignment w:val="baseline"/>
        <w:rPr>
          <w:rFonts w:ascii="仿宋" w:hAnsi="仿宋" w:eastAsia="仿宋" w:cs="仿宋"/>
          <w:sz w:val="31"/>
          <w:szCs w:val="31"/>
        </w:rPr>
        <w:sectPr>
          <w:footerReference r:id="rId14" w:type="default"/>
          <w:pgSz w:w="11906" w:h="16839"/>
          <w:pgMar w:top="1417" w:right="1587" w:bottom="1417" w:left="1587" w:header="0" w:footer="109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36" w:firstLineChars="200"/>
        <w:jc w:val="both"/>
        <w:textAlignment w:val="baseline"/>
        <w:rPr>
          <w:rFonts w:hint="eastAsia" w:ascii="仿宋" w:hAnsi="仿宋" w:eastAsia="仿宋" w:cs="仿宋"/>
          <w:sz w:val="31"/>
          <w:szCs w:val="31"/>
          <w:lang w:eastAsia="zh-CN"/>
        </w:rPr>
      </w:pPr>
      <w:r>
        <w:rPr>
          <w:rFonts w:ascii="仿宋" w:hAnsi="仿宋" w:eastAsia="仿宋" w:cs="仿宋"/>
          <w:spacing w:val="4"/>
          <w:sz w:val="31"/>
          <w:szCs w:val="31"/>
        </w:rPr>
        <w:t>围绕建立“以地定养、以养肥地”的现代生态循环农业体</w:t>
      </w:r>
      <w:r>
        <w:rPr>
          <w:rFonts w:ascii="仿宋" w:hAnsi="仿宋" w:eastAsia="仿宋" w:cs="仿宋"/>
          <w:spacing w:val="14"/>
          <w:sz w:val="31"/>
          <w:szCs w:val="31"/>
        </w:rPr>
        <w:t>系，加强畜禽养殖废弃物资源化利用，推动畜牧业绿色发展。</w:t>
      </w:r>
      <w:r>
        <w:rPr>
          <w:rFonts w:ascii="仿宋" w:hAnsi="仿宋" w:eastAsia="仿宋" w:cs="仿宋"/>
          <w:spacing w:val="13"/>
          <w:sz w:val="31"/>
          <w:szCs w:val="31"/>
        </w:rPr>
        <w:t>开展养殖排泄物及屠宰加工废弃物向农用有机肥转化利用，采取生态循环利用模式，将养殖、屠宰加工产生的废弃物通过收</w:t>
      </w:r>
      <w:r>
        <w:rPr>
          <w:rFonts w:ascii="仿宋" w:hAnsi="仿宋" w:eastAsia="仿宋" w:cs="仿宋"/>
          <w:spacing w:val="5"/>
          <w:sz w:val="31"/>
          <w:szCs w:val="31"/>
        </w:rPr>
        <w:t>集处理后转变为肥料，实现畜禽粪污无害化处</w:t>
      </w:r>
      <w:r>
        <w:rPr>
          <w:rFonts w:ascii="仿宋" w:hAnsi="仿宋" w:eastAsia="仿宋" w:cs="仿宋"/>
          <w:spacing w:val="4"/>
          <w:sz w:val="31"/>
          <w:szCs w:val="31"/>
        </w:rPr>
        <w:t>理和资源化利用</w:t>
      </w:r>
      <w:r>
        <w:rPr>
          <w:rFonts w:hint="eastAsia" w:ascii="仿宋" w:hAnsi="仿宋" w:eastAsia="仿宋" w:cs="仿宋"/>
          <w:spacing w:val="4"/>
          <w:sz w:val="31"/>
          <w:szCs w:val="31"/>
          <w:lang w:eastAsia="zh-CN"/>
        </w:rPr>
        <w:t>，</w:t>
      </w:r>
      <w:r>
        <w:rPr>
          <w:rFonts w:ascii="仿宋" w:hAnsi="仿宋" w:eastAsia="仿宋" w:cs="仿宋"/>
          <w:spacing w:val="13"/>
          <w:sz w:val="31"/>
          <w:szCs w:val="31"/>
        </w:rPr>
        <w:t>促进农牧循环发展。将农牧生态循环作为农业发展的重点，鼓</w:t>
      </w:r>
      <w:r>
        <w:rPr>
          <w:rFonts w:ascii="仿宋" w:hAnsi="仿宋" w:eastAsia="仿宋" w:cs="仿宋"/>
          <w:spacing w:val="11"/>
          <w:sz w:val="31"/>
          <w:szCs w:val="31"/>
        </w:rPr>
        <w:t>励在规模种植基地周边建设农牧循环畜禽养殖场（户</w:t>
      </w:r>
      <w:r>
        <w:rPr>
          <w:rFonts w:ascii="仿宋" w:hAnsi="仿宋" w:eastAsia="仿宋" w:cs="仿宋"/>
          <w:sz w:val="31"/>
          <w:szCs w:val="31"/>
        </w:rPr>
        <w:t>），</w:t>
      </w:r>
      <w:r>
        <w:rPr>
          <w:rFonts w:ascii="仿宋" w:hAnsi="仿宋" w:eastAsia="仿宋" w:cs="仿宋"/>
          <w:spacing w:val="11"/>
          <w:sz w:val="31"/>
          <w:szCs w:val="31"/>
        </w:rPr>
        <w:t>促进</w:t>
      </w:r>
      <w:r>
        <w:rPr>
          <w:rFonts w:ascii="仿宋" w:hAnsi="仿宋" w:eastAsia="仿宋" w:cs="仿宋"/>
          <w:spacing w:val="13"/>
          <w:sz w:val="31"/>
          <w:szCs w:val="31"/>
        </w:rPr>
        <w:t>粪肥就地就近还田。构建集养殖、繁育及饲草料种植、饲草料</w:t>
      </w:r>
      <w:r>
        <w:rPr>
          <w:rFonts w:ascii="仿宋" w:hAnsi="仿宋" w:eastAsia="仿宋" w:cs="仿宋"/>
          <w:spacing w:val="14"/>
          <w:sz w:val="31"/>
          <w:szCs w:val="31"/>
        </w:rPr>
        <w:t>加工、有机肥生产等种养循环一体化模式，实现畜牧业高质、</w:t>
      </w:r>
      <w:r>
        <w:rPr>
          <w:rFonts w:ascii="仿宋" w:hAnsi="仿宋" w:eastAsia="仿宋" w:cs="仿宋"/>
          <w:spacing w:val="3"/>
          <w:sz w:val="31"/>
          <w:szCs w:val="31"/>
        </w:rPr>
        <w:t>生态、健康发展。到2025年，畜禽粪污资源化利用率达到96%</w:t>
      </w:r>
      <w:r>
        <w:rPr>
          <w:rFonts w:hint="eastAsia" w:ascii="仿宋" w:hAnsi="仿宋" w:eastAsia="仿宋" w:cs="仿宋"/>
          <w:spacing w:val="3"/>
          <w:sz w:val="31"/>
          <w:szCs w:val="31"/>
          <w:lang w:eastAsia="zh-CN"/>
        </w:rPr>
        <w:t>。</w:t>
      </w:r>
    </w:p>
    <w:p>
      <w:pPr>
        <w:keepNext w:val="0"/>
        <w:keepLines w:val="0"/>
        <w:pageBreakBefore w:val="0"/>
        <w:widowControl w:val="0"/>
        <w:kinsoku/>
        <w:wordWrap/>
        <w:overflowPunct w:val="0"/>
        <w:topLinePunct w:val="0"/>
        <w:bidi w:val="0"/>
        <w:spacing w:line="600" w:lineRule="exact"/>
        <w:ind w:firstLine="643"/>
        <w:jc w:val="center"/>
        <w:outlineLvl w:val="1"/>
        <w:rPr>
          <w:rFonts w:ascii="楷体" w:hAnsi="楷体" w:eastAsia="楷体" w:cs="楷体"/>
          <w:b/>
          <w:bCs/>
          <w:color w:val="000000"/>
          <w:sz w:val="24"/>
          <w:szCs w:val="24"/>
        </w:rPr>
      </w:pPr>
      <w:bookmarkStart w:id="45" w:name="bookmark27"/>
      <w:bookmarkEnd w:id="45"/>
      <w:bookmarkStart w:id="46" w:name="_Toc29477"/>
      <w:r>
        <w:rPr>
          <w:rFonts w:hint="eastAsia" w:cs="仿宋"/>
          <w:b/>
          <w:bCs/>
          <w:sz w:val="24"/>
          <w:szCs w:val="24"/>
        </w:rPr>
        <w:t>专栏2</w:t>
      </w:r>
      <w:r>
        <w:rPr>
          <w:rFonts w:hint="eastAsia" w:eastAsia="宋体" w:cs="仿宋"/>
          <w:b/>
          <w:bCs/>
          <w:sz w:val="24"/>
          <w:szCs w:val="24"/>
          <w:lang w:val="en-US" w:eastAsia="zh-CN"/>
        </w:rPr>
        <w:t xml:space="preserve"> </w:t>
      </w:r>
      <w:r>
        <w:rPr>
          <w:rFonts w:hint="eastAsia" w:cs="仿宋"/>
          <w:b/>
          <w:bCs/>
          <w:sz w:val="24"/>
          <w:szCs w:val="24"/>
        </w:rPr>
        <w:t>畜牧业质量提升重点项目</w:t>
      </w:r>
      <w:bookmarkEnd w:id="4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241" w:type="dxa"/>
            <w:noWrap w:val="0"/>
            <w:vAlign w:val="top"/>
          </w:tcPr>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b/>
                <w:bCs/>
                <w:kern w:val="21"/>
                <w:sz w:val="24"/>
                <w:szCs w:val="24"/>
                <w:highlight w:val="magenta"/>
              </w:rPr>
            </w:pPr>
            <w:r>
              <w:rPr>
                <w:rFonts w:hint="eastAsia" w:cs="仿宋"/>
                <w:b/>
                <w:bCs/>
                <w:kern w:val="21"/>
                <w:sz w:val="24"/>
                <w:szCs w:val="24"/>
                <w:highlight w:val="none"/>
              </w:rPr>
              <w:t>1.双辽市肉牛产业融合发展示范园建设项目</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kern w:val="21"/>
                <w:sz w:val="24"/>
                <w:szCs w:val="24"/>
              </w:rPr>
            </w:pPr>
            <w:r>
              <w:rPr>
                <w:rFonts w:hint="eastAsia" w:cs="仿宋"/>
                <w:kern w:val="21"/>
                <w:sz w:val="24"/>
                <w:szCs w:val="24"/>
              </w:rPr>
              <w:t>项目总投资5.173亿元，总占地面积140.3845公顷，总建筑面积26.5117公顷。分两期建设，一期主要建设万头纯种安格斯肉牛繁育示范场和万头优质肉牛育肥示范场两个场区，二期规划建设年屠宰10万头优质肉牛、生产5000吨休闲食品及1亿穗鲜食玉米的加工园区。</w:t>
            </w:r>
          </w:p>
          <w:p>
            <w:pPr>
              <w:pStyle w:val="10"/>
              <w:keepNext w:val="0"/>
              <w:keepLines w:val="0"/>
              <w:pageBreakBefore w:val="0"/>
              <w:widowControl w:val="0"/>
              <w:kinsoku/>
              <w:wordWrap/>
              <w:overflowPunct w:val="0"/>
              <w:topLinePunct w:val="0"/>
              <w:bidi w:val="0"/>
              <w:spacing w:line="290" w:lineRule="auto"/>
              <w:ind w:firstLine="482" w:firstLineChars="200"/>
              <w:jc w:val="both"/>
              <w:rPr>
                <w:rFonts w:hint="eastAsia" w:ascii="仿宋" w:hAnsi="仿宋" w:eastAsia="仿宋" w:cs="仿宋"/>
                <w:b/>
                <w:bCs/>
                <w:kern w:val="21"/>
                <w:sz w:val="24"/>
                <w:szCs w:val="24"/>
                <w:highlight w:val="red"/>
                <w:lang w:val="en-US" w:eastAsia="zh-CN" w:bidi="ar-SA"/>
              </w:rPr>
            </w:pPr>
            <w:r>
              <w:rPr>
                <w:rFonts w:hint="eastAsia" w:ascii="仿宋" w:hAnsi="仿宋" w:eastAsia="仿宋" w:cs="仿宋"/>
                <w:b/>
                <w:bCs/>
                <w:kern w:val="21"/>
                <w:sz w:val="24"/>
                <w:szCs w:val="24"/>
                <w:highlight w:val="none"/>
                <w:lang w:val="en-US" w:eastAsia="zh-CN" w:bidi="ar-SA"/>
              </w:rPr>
              <w:t>2.</w:t>
            </w:r>
            <w:r>
              <w:rPr>
                <w:rFonts w:hint="eastAsia" w:ascii="仿宋" w:hAnsi="仿宋" w:eastAsia="Arial" w:cs="仿宋"/>
                <w:b/>
                <w:bCs/>
                <w:snapToGrid w:val="0"/>
                <w:color w:val="000000"/>
                <w:kern w:val="21"/>
                <w:sz w:val="24"/>
                <w:szCs w:val="24"/>
                <w:lang w:val="en-US" w:eastAsia="zh-CN" w:bidi="ar-SA"/>
              </w:rPr>
              <w:t>双辽牧原饲料厂建设项目</w:t>
            </w:r>
          </w:p>
          <w:p>
            <w:pPr>
              <w:pStyle w:val="10"/>
              <w:keepNext w:val="0"/>
              <w:keepLines w:val="0"/>
              <w:pageBreakBefore w:val="0"/>
              <w:widowControl w:val="0"/>
              <w:kinsoku/>
              <w:wordWrap/>
              <w:overflowPunct w:val="0"/>
              <w:topLinePunct w:val="0"/>
              <w:bidi w:val="0"/>
              <w:spacing w:line="360" w:lineRule="auto"/>
              <w:ind w:firstLine="480" w:firstLineChars="200"/>
              <w:jc w:val="both"/>
              <w:rPr>
                <w:rFonts w:hint="eastAsia" w:ascii="仿宋" w:hAnsi="仿宋" w:cs="仿宋"/>
                <w:sz w:val="24"/>
                <w:szCs w:val="24"/>
                <w:highlight w:val="none"/>
              </w:rPr>
            </w:pPr>
            <w:r>
              <w:rPr>
                <w:rFonts w:hint="eastAsia" w:ascii="Arial" w:hAnsi="Arial" w:eastAsia="Arial" w:cs="仿宋"/>
                <w:snapToGrid w:val="0"/>
                <w:color w:val="000000"/>
                <w:kern w:val="21"/>
                <w:sz w:val="24"/>
                <w:szCs w:val="24"/>
                <w:lang w:val="en-US" w:eastAsia="zh-CN" w:bidi="ar-SA"/>
              </w:rPr>
              <w:t>在玻璃山镇投资10167万元建设饲料厂，总用地面积27368平方米，总建设面积11294.22平方米。</w:t>
            </w:r>
            <w:r>
              <w:rPr>
                <w:rFonts w:hint="eastAsia" w:ascii="Arial" w:hAnsi="Arial" w:eastAsia="Arial" w:cs="仿宋"/>
                <w:snapToGrid w:val="0"/>
                <w:color w:val="000000"/>
                <w:kern w:val="21"/>
                <w:sz w:val="24"/>
                <w:szCs w:val="24"/>
                <w:highlight w:val="none"/>
                <w:lang w:val="en-US" w:eastAsia="zh-CN" w:bidi="ar-SA"/>
              </w:rPr>
              <w:t>建设内容主要包括:生产车间3561平方米、1栋综合楼6528平方米、11个筒仓群及配套附属设施:设备各包括24万吨饲料加工设备、空气动力系统、扦样设备、地磅等设备；</w:t>
            </w:r>
            <w:r>
              <w:rPr>
                <w:rFonts w:hint="eastAsia" w:ascii="Arial" w:hAnsi="Arial" w:eastAsia="Arial" w:cs="仿宋"/>
                <w:snapToGrid w:val="0"/>
                <w:color w:val="000000"/>
                <w:kern w:val="21"/>
                <w:sz w:val="24"/>
                <w:szCs w:val="24"/>
                <w:lang w:val="en-US" w:eastAsia="zh-CN" w:bidi="ar-SA"/>
              </w:rPr>
              <w:t>年产24万吨生猪养殖饲料，增加企业产值5.03亿元。</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default" w:cs="仿宋"/>
                <w:b/>
                <w:bCs/>
                <w:kern w:val="21"/>
                <w:sz w:val="24"/>
                <w:szCs w:val="24"/>
                <w:highlight w:val="none"/>
                <w:lang w:val="en-US"/>
              </w:rPr>
            </w:pPr>
            <w:r>
              <w:rPr>
                <w:rFonts w:hint="eastAsia" w:cs="仿宋"/>
                <w:b/>
                <w:bCs/>
                <w:kern w:val="21"/>
                <w:sz w:val="24"/>
                <w:szCs w:val="24"/>
                <w:highlight w:val="none"/>
              </w:rPr>
              <w:t>3.</w:t>
            </w:r>
            <w:r>
              <w:rPr>
                <w:rFonts w:hint="eastAsia" w:cs="仿宋"/>
                <w:b/>
                <w:bCs/>
                <w:kern w:val="21"/>
                <w:sz w:val="24"/>
                <w:szCs w:val="24"/>
                <w:highlight w:val="none"/>
                <w:lang w:val="en-US" w:eastAsia="zh-CN"/>
              </w:rPr>
              <w:t>双辽市肉羊养殖及屠宰项目</w:t>
            </w:r>
          </w:p>
          <w:p>
            <w:pPr>
              <w:pStyle w:val="2"/>
              <w:keepNext w:val="0"/>
              <w:keepLines w:val="0"/>
              <w:pageBreakBefore w:val="0"/>
              <w:widowControl w:val="0"/>
              <w:kinsoku/>
              <w:wordWrap/>
              <w:overflowPunct w:val="0"/>
              <w:topLinePunct w:val="0"/>
              <w:bidi w:val="0"/>
              <w:snapToGrid w:val="0"/>
              <w:spacing w:line="360" w:lineRule="auto"/>
              <w:ind w:firstLine="562"/>
              <w:jc w:val="both"/>
              <w:rPr>
                <w:rFonts w:hint="eastAsia" w:ascii="仿宋" w:hAnsi="仿宋" w:eastAsia="仿宋" w:cs="仿宋"/>
                <w:color w:val="auto"/>
                <w:kern w:val="21"/>
                <w:sz w:val="24"/>
                <w:szCs w:val="24"/>
                <w:lang w:eastAsia="zh-CN"/>
              </w:rPr>
            </w:pPr>
            <w:r>
              <w:rPr>
                <w:rFonts w:hint="eastAsia" w:ascii="仿宋" w:hAnsi="仿宋" w:cs="仿宋"/>
                <w:color w:val="auto"/>
                <w:kern w:val="21"/>
                <w:sz w:val="24"/>
                <w:szCs w:val="24"/>
              </w:rPr>
              <w:t>在双辽市种羊场</w:t>
            </w:r>
            <w:r>
              <w:rPr>
                <w:rFonts w:hint="eastAsia" w:ascii="仿宋" w:hAnsi="仿宋" w:cs="仿宋"/>
                <w:color w:val="auto"/>
                <w:kern w:val="21"/>
                <w:sz w:val="24"/>
                <w:szCs w:val="24"/>
                <w:lang w:eastAsia="zh-CN"/>
              </w:rPr>
              <w:t>建设</w:t>
            </w:r>
            <w:r>
              <w:rPr>
                <w:rFonts w:hint="eastAsia" w:ascii="仿宋" w:hAnsi="仿宋" w:cs="仿宋"/>
                <w:color w:val="auto"/>
                <w:kern w:val="21"/>
                <w:sz w:val="24"/>
                <w:szCs w:val="24"/>
              </w:rPr>
              <w:t>年</w:t>
            </w:r>
            <w:r>
              <w:rPr>
                <w:rFonts w:hint="eastAsia" w:ascii="仿宋" w:hAnsi="仿宋" w:cs="仿宋"/>
                <w:color w:val="auto"/>
                <w:kern w:val="21"/>
                <w:sz w:val="24"/>
                <w:szCs w:val="24"/>
                <w:lang w:val="en-US" w:eastAsia="zh-CN"/>
              </w:rPr>
              <w:t>20</w:t>
            </w:r>
            <w:r>
              <w:rPr>
                <w:rFonts w:hint="eastAsia" w:ascii="仿宋" w:hAnsi="仿宋" w:cs="仿宋"/>
                <w:color w:val="auto"/>
                <w:kern w:val="21"/>
                <w:sz w:val="24"/>
                <w:szCs w:val="24"/>
              </w:rPr>
              <w:t>万只肉羊屠宰</w:t>
            </w:r>
            <w:r>
              <w:rPr>
                <w:rFonts w:hint="eastAsia" w:ascii="仿宋" w:hAnsi="仿宋" w:cs="仿宋"/>
                <w:color w:val="auto"/>
                <w:kern w:val="21"/>
                <w:sz w:val="24"/>
                <w:szCs w:val="24"/>
                <w:lang w:eastAsia="zh-CN"/>
              </w:rPr>
              <w:t>加工厂</w:t>
            </w:r>
            <w:r>
              <w:rPr>
                <w:rFonts w:hint="eastAsia" w:ascii="仿宋" w:hAnsi="仿宋" w:cs="仿宋"/>
                <w:color w:val="auto"/>
                <w:kern w:val="21"/>
                <w:sz w:val="24"/>
                <w:szCs w:val="24"/>
              </w:rPr>
              <w:t>，配套冷链物流仓储、无害化处理设施、有机肥厂、规模化粮食种植基地等。项目建成后，年可实现销售收入4000万元以上，可带动周边</w:t>
            </w:r>
            <w:r>
              <w:rPr>
                <w:rFonts w:hint="eastAsia" w:ascii="仿宋" w:hAnsi="仿宋" w:eastAsia="宋体" w:cs="仿宋"/>
                <w:color w:val="auto"/>
                <w:kern w:val="21"/>
                <w:sz w:val="24"/>
                <w:szCs w:val="24"/>
                <w:lang w:val="en-US" w:eastAsia="zh-CN"/>
              </w:rPr>
              <w:t>500</w:t>
            </w:r>
            <w:r>
              <w:rPr>
                <w:rFonts w:hint="eastAsia" w:ascii="仿宋" w:hAnsi="仿宋" w:cs="仿宋"/>
                <w:color w:val="auto"/>
                <w:kern w:val="21"/>
                <w:sz w:val="24"/>
                <w:szCs w:val="24"/>
                <w:lang w:eastAsia="zh-CN"/>
              </w:rPr>
              <w:t>户</w:t>
            </w:r>
            <w:r>
              <w:rPr>
                <w:rFonts w:hint="eastAsia" w:ascii="仿宋" w:hAnsi="仿宋" w:cs="仿宋"/>
                <w:color w:val="auto"/>
                <w:kern w:val="21"/>
                <w:sz w:val="24"/>
                <w:szCs w:val="24"/>
              </w:rPr>
              <w:t>农户进行肉羊养殖，带动就业</w:t>
            </w:r>
            <w:r>
              <w:rPr>
                <w:rFonts w:hint="eastAsia" w:ascii="仿宋" w:hAnsi="仿宋" w:eastAsia="宋体" w:cs="仿宋"/>
                <w:color w:val="auto"/>
                <w:kern w:val="21"/>
                <w:sz w:val="24"/>
                <w:szCs w:val="24"/>
                <w:lang w:val="en-US" w:eastAsia="zh-CN"/>
              </w:rPr>
              <w:t>1</w:t>
            </w:r>
            <w:r>
              <w:rPr>
                <w:rFonts w:hint="eastAsia" w:ascii="仿宋" w:hAnsi="仿宋" w:cs="仿宋"/>
                <w:color w:val="auto"/>
                <w:kern w:val="21"/>
                <w:sz w:val="24"/>
                <w:szCs w:val="24"/>
              </w:rPr>
              <w:t>00人。</w:t>
            </w:r>
          </w:p>
          <w:p>
            <w:pPr>
              <w:pStyle w:val="10"/>
              <w:keepNext w:val="0"/>
              <w:keepLines w:val="0"/>
              <w:pageBreakBefore w:val="0"/>
              <w:widowControl w:val="0"/>
              <w:kinsoku/>
              <w:wordWrap/>
              <w:overflowPunct w:val="0"/>
              <w:topLinePunct w:val="0"/>
              <w:bidi w:val="0"/>
              <w:spacing w:line="290" w:lineRule="auto"/>
              <w:ind w:firstLine="480" w:firstLineChars="200"/>
              <w:jc w:val="both"/>
              <w:rPr>
                <w:rFonts w:hint="eastAsia" w:ascii="仿宋" w:hAnsi="仿宋" w:eastAsia="Arial" w:cs="仿宋"/>
                <w:b/>
                <w:bCs/>
                <w:snapToGrid w:val="0"/>
                <w:color w:val="000000"/>
                <w:kern w:val="21"/>
                <w:sz w:val="24"/>
                <w:szCs w:val="24"/>
                <w:lang w:val="en-US" w:eastAsia="zh-CN" w:bidi="ar-SA"/>
              </w:rPr>
            </w:pPr>
            <w:r>
              <w:rPr>
                <w:rFonts w:hint="eastAsia" w:ascii="仿宋" w:hAnsi="仿宋" w:eastAsia="Arial" w:cs="仿宋"/>
                <w:b/>
                <w:bCs/>
                <w:snapToGrid w:val="0"/>
                <w:color w:val="000000"/>
                <w:kern w:val="21"/>
                <w:sz w:val="24"/>
                <w:szCs w:val="24"/>
                <w:lang w:val="en-US" w:eastAsia="zh-CN" w:bidi="ar-SA"/>
              </w:rPr>
              <w:t>4.畜禽产品安全追溯体系和检测体系完善提升项目</w:t>
            </w:r>
          </w:p>
          <w:p>
            <w:pPr>
              <w:keepNext w:val="0"/>
              <w:keepLines w:val="0"/>
              <w:pageBreakBefore w:val="0"/>
              <w:widowControl w:val="0"/>
              <w:kinsoku/>
              <w:wordWrap/>
              <w:overflowPunct w:val="0"/>
              <w:topLinePunct w:val="0"/>
              <w:bidi w:val="0"/>
              <w:spacing w:line="360" w:lineRule="auto"/>
              <w:ind w:firstLine="560"/>
              <w:jc w:val="both"/>
              <w:rPr>
                <w:rFonts w:hint="eastAsia" w:cs="仿宋"/>
                <w:bCs/>
                <w:color w:val="000000"/>
                <w:sz w:val="24"/>
                <w:szCs w:val="24"/>
              </w:rPr>
            </w:pPr>
            <w:r>
              <w:rPr>
                <w:rFonts w:hint="eastAsia" w:cs="仿宋"/>
                <w:kern w:val="21"/>
                <w:sz w:val="24"/>
                <w:szCs w:val="24"/>
              </w:rPr>
              <w:t>在18个乡镇街规模以上生猪定点屠宰场完善畜禽产品安全追溯体系和检测体系。该系统实现畜禽屠宰企业全年屠宰量的质量追溯目标，主要包括：信息收集服务器、二维码打印机、入场登记终端、台式电脑、无线网卡、手持终端、射钉枪、胶针、防水热敏标签纸、流量卡。</w:t>
            </w:r>
          </w:p>
        </w:tc>
      </w:tr>
    </w:tbl>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47" w:name="_Toc16032"/>
      <w:r>
        <w:rPr>
          <w:rFonts w:ascii="楷体" w:hAnsi="楷体" w:eastAsia="楷体" w:cs="楷体"/>
          <w:spacing w:val="0"/>
          <w:sz w:val="32"/>
          <w:szCs w:val="32"/>
        </w:rPr>
        <w:t>（三）发展特色多元产业</w:t>
      </w:r>
      <w:bookmarkEnd w:id="47"/>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8" w:firstLineChars="200"/>
        <w:jc w:val="both"/>
        <w:textAlignment w:val="baseline"/>
        <w:rPr>
          <w:rFonts w:ascii="仿宋" w:hAnsi="仿宋" w:eastAsia="仿宋" w:cs="仿宋"/>
          <w:sz w:val="31"/>
          <w:szCs w:val="31"/>
        </w:rPr>
      </w:pPr>
      <w:r>
        <w:rPr>
          <w:rFonts w:ascii="仿宋" w:hAnsi="仿宋" w:eastAsia="仿宋" w:cs="仿宋"/>
          <w:spacing w:val="7"/>
          <w:sz w:val="31"/>
          <w:szCs w:val="31"/>
        </w:rPr>
        <w:t>结合区域资源禀赋</w:t>
      </w:r>
      <w:r>
        <w:rPr>
          <w:rFonts w:hint="eastAsia" w:ascii="仿宋" w:hAnsi="仿宋" w:eastAsia="仿宋" w:cs="仿宋"/>
          <w:spacing w:val="7"/>
          <w:sz w:val="31"/>
          <w:szCs w:val="31"/>
          <w:lang w:eastAsia="zh-CN"/>
        </w:rPr>
        <w:t>，</w:t>
      </w:r>
      <w:r>
        <w:rPr>
          <w:rFonts w:ascii="仿宋" w:hAnsi="仿宋" w:eastAsia="仿宋" w:cs="仿宋"/>
          <w:spacing w:val="7"/>
          <w:sz w:val="31"/>
          <w:szCs w:val="31"/>
        </w:rPr>
        <w:t>因地制宜发展杂粮杂豆、花生</w:t>
      </w:r>
      <w:r>
        <w:rPr>
          <w:rFonts w:hint="eastAsia" w:ascii="仿宋" w:hAnsi="仿宋" w:eastAsia="仿宋" w:cs="仿宋"/>
          <w:spacing w:val="7"/>
          <w:sz w:val="31"/>
          <w:szCs w:val="31"/>
          <w:lang w:eastAsia="zh-CN"/>
        </w:rPr>
        <w:t>、</w:t>
      </w:r>
      <w:r>
        <w:rPr>
          <w:rFonts w:ascii="仿宋" w:hAnsi="仿宋" w:eastAsia="仿宋" w:cs="仿宋"/>
          <w:spacing w:val="7"/>
          <w:sz w:val="31"/>
          <w:szCs w:val="31"/>
        </w:rPr>
        <w:t>蔬菜</w:t>
      </w:r>
      <w:r>
        <w:rPr>
          <w:rFonts w:hint="eastAsia" w:ascii="仿宋" w:hAnsi="仿宋" w:eastAsia="仿宋" w:cs="仿宋"/>
          <w:spacing w:val="7"/>
          <w:sz w:val="31"/>
          <w:szCs w:val="31"/>
          <w:lang w:eastAsia="zh-CN"/>
        </w:rPr>
        <w:t>、</w:t>
      </w:r>
      <w:r>
        <w:rPr>
          <w:rFonts w:ascii="仿宋" w:hAnsi="仿宋" w:eastAsia="仿宋" w:cs="仿宋"/>
          <w:spacing w:val="4"/>
          <w:sz w:val="31"/>
          <w:szCs w:val="31"/>
        </w:rPr>
        <w:t>食用菌、林果等特色产品，推广“一乡一业”“一村一</w:t>
      </w:r>
      <w:r>
        <w:rPr>
          <w:rFonts w:ascii="仿宋" w:hAnsi="仿宋" w:eastAsia="仿宋" w:cs="仿宋"/>
          <w:spacing w:val="3"/>
          <w:sz w:val="31"/>
          <w:szCs w:val="31"/>
        </w:rPr>
        <w:t>品”，</w:t>
      </w:r>
      <w:r>
        <w:rPr>
          <w:rFonts w:ascii="仿宋" w:hAnsi="仿宋" w:eastAsia="仿宋" w:cs="仿宋"/>
          <w:spacing w:val="8"/>
          <w:sz w:val="31"/>
          <w:szCs w:val="31"/>
        </w:rPr>
        <w:t>逐步形成特色多元发展的新格局。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4" w:firstLineChars="200"/>
        <w:jc w:val="both"/>
        <w:textAlignment w:val="baseline"/>
        <w:outlineLvl w:val="2"/>
        <w:rPr>
          <w:rFonts w:ascii="仿宋" w:hAnsi="仿宋" w:eastAsia="仿宋" w:cs="仿宋"/>
          <w:sz w:val="31"/>
          <w:szCs w:val="31"/>
        </w:rPr>
      </w:pPr>
      <w:bookmarkStart w:id="48" w:name="_Toc9803"/>
      <w:r>
        <w:rPr>
          <w:rFonts w:ascii="仿宋" w:hAnsi="仿宋" w:eastAsia="仿宋" w:cs="仿宋"/>
          <w:b/>
          <w:bCs/>
          <w:spacing w:val="3"/>
          <w:sz w:val="31"/>
          <w:szCs w:val="31"/>
        </w:rPr>
        <w:t>1.推进棚膜经济发展</w:t>
      </w:r>
      <w:bookmarkEnd w:id="48"/>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推动棚膜经济转型升级，重点围绕主要交通沿线建设一批标准化、集约化棚室，重点发展高效节能日光温室和智能化温</w:t>
      </w:r>
      <w:r>
        <w:rPr>
          <w:rFonts w:ascii="仿宋" w:hAnsi="仿宋" w:eastAsia="仿宋" w:cs="仿宋"/>
          <w:spacing w:val="10"/>
          <w:sz w:val="31"/>
          <w:szCs w:val="31"/>
        </w:rPr>
        <w:t>室。加快老旧棚室改造和棚膜园区提档升级，以发展集约化育</w:t>
      </w:r>
      <w:r>
        <w:rPr>
          <w:rFonts w:ascii="仿宋" w:hAnsi="仿宋" w:eastAsia="仿宋" w:cs="仿宋"/>
          <w:spacing w:val="13"/>
          <w:sz w:val="31"/>
          <w:szCs w:val="31"/>
        </w:rPr>
        <w:t>苗为关键点，全面推进棚室育苗基地建设，培育特色优质蔬菜</w:t>
      </w:r>
      <w:r>
        <w:rPr>
          <w:rFonts w:ascii="仿宋" w:hAnsi="仿宋" w:eastAsia="仿宋" w:cs="仿宋"/>
          <w:spacing w:val="10"/>
          <w:sz w:val="31"/>
          <w:szCs w:val="31"/>
        </w:rPr>
        <w:t>（食用菌）品种，加快食用菌立体培植等新技术普及与应用，</w:t>
      </w:r>
      <w:r>
        <w:rPr>
          <w:rFonts w:ascii="仿宋" w:hAnsi="仿宋" w:eastAsia="仿宋" w:cs="仿宋"/>
          <w:spacing w:val="13"/>
          <w:sz w:val="31"/>
          <w:szCs w:val="31"/>
        </w:rPr>
        <w:t>提高园区土地利用率和产出率。扩大优质蔬菜错季生产规模，提升城市冬春季蔬菜供给能力。大力发展蔬菜初精加工、分级分选等商品化处理能力，配套建设批发市场、冷藏和保鲜库等服务设施，强化产销信息服务，促进农户对接大市场，形成龙头带基地、基地连农户、产加销一条龙的棚膜产业发展格局，</w:t>
      </w:r>
      <w:r>
        <w:rPr>
          <w:rFonts w:ascii="仿宋" w:hAnsi="仿宋" w:eastAsia="仿宋" w:cs="仿宋"/>
          <w:spacing w:val="-2"/>
          <w:sz w:val="31"/>
          <w:szCs w:val="31"/>
        </w:rPr>
        <w:t>打造区域优质蔬菜品牌，不断提升棚膜经济质量和效益。到2025</w:t>
      </w:r>
      <w:r>
        <w:rPr>
          <w:rFonts w:ascii="仿宋" w:hAnsi="仿宋" w:eastAsia="仿宋" w:cs="仿宋"/>
          <w:spacing w:val="11"/>
          <w:sz w:val="31"/>
          <w:szCs w:val="31"/>
        </w:rPr>
        <w:t>年，全市建设标准化棚膜园区达到17个，棚膜面积达到1</w:t>
      </w:r>
      <w:r>
        <w:rPr>
          <w:rFonts w:ascii="仿宋" w:hAnsi="仿宋" w:eastAsia="仿宋" w:cs="仿宋"/>
          <w:spacing w:val="10"/>
          <w:sz w:val="31"/>
          <w:szCs w:val="31"/>
        </w:rPr>
        <w:t>800</w:t>
      </w:r>
      <w:r>
        <w:rPr>
          <w:rFonts w:ascii="仿宋" w:hAnsi="仿宋" w:eastAsia="仿宋" w:cs="仿宋"/>
          <w:spacing w:val="8"/>
          <w:sz w:val="31"/>
          <w:szCs w:val="31"/>
        </w:rPr>
        <w:t>亩。蔬菜年产量突破20万吨（含裸种产量）,全市冬春</w:t>
      </w:r>
      <w:r>
        <w:rPr>
          <w:rFonts w:ascii="仿宋" w:hAnsi="仿宋" w:eastAsia="仿宋" w:cs="仿宋"/>
          <w:spacing w:val="7"/>
          <w:sz w:val="31"/>
          <w:szCs w:val="31"/>
        </w:rPr>
        <w:t>季地产</w:t>
      </w:r>
      <w:r>
        <w:rPr>
          <w:rFonts w:ascii="仿宋" w:hAnsi="仿宋" w:eastAsia="仿宋" w:cs="仿宋"/>
          <w:spacing w:val="12"/>
          <w:sz w:val="31"/>
          <w:szCs w:val="31"/>
        </w:rPr>
        <w:t>蔬菜供应率达到90%以上。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8" w:firstLineChars="200"/>
        <w:jc w:val="both"/>
        <w:textAlignment w:val="baseline"/>
        <w:outlineLvl w:val="2"/>
        <w:rPr>
          <w:rFonts w:ascii="仿宋" w:hAnsi="仿宋" w:eastAsia="仿宋" w:cs="仿宋"/>
          <w:sz w:val="31"/>
          <w:szCs w:val="31"/>
        </w:rPr>
      </w:pPr>
      <w:bookmarkStart w:id="49" w:name="_Toc3562"/>
      <w:r>
        <w:rPr>
          <w:rFonts w:ascii="仿宋" w:hAnsi="仿宋" w:eastAsia="仿宋" w:cs="仿宋"/>
          <w:b/>
          <w:bCs/>
          <w:spacing w:val="4"/>
          <w:sz w:val="31"/>
          <w:szCs w:val="31"/>
        </w:rPr>
        <w:t>2.做强特色种植业</w:t>
      </w:r>
      <w:bookmarkEnd w:id="49"/>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4" w:firstLineChars="200"/>
        <w:jc w:val="both"/>
        <w:textAlignment w:val="baseline"/>
        <w:rPr>
          <w:rFonts w:ascii="仿宋" w:hAnsi="仿宋" w:eastAsia="仿宋" w:cs="仿宋"/>
          <w:sz w:val="31"/>
          <w:szCs w:val="31"/>
        </w:rPr>
      </w:pPr>
      <w:r>
        <w:rPr>
          <w:rFonts w:ascii="仿宋" w:hAnsi="仿宋" w:eastAsia="仿宋" w:cs="仿宋"/>
          <w:spacing w:val="11"/>
          <w:sz w:val="31"/>
          <w:szCs w:val="31"/>
        </w:rPr>
        <w:t>因村施策多元发展特色产业，扩大杂粮杂豆、花生大豆等</w:t>
      </w:r>
      <w:r>
        <w:rPr>
          <w:rFonts w:ascii="仿宋" w:hAnsi="仿宋" w:eastAsia="仿宋" w:cs="仿宋"/>
          <w:spacing w:val="9"/>
          <w:sz w:val="31"/>
          <w:szCs w:val="31"/>
        </w:rPr>
        <w:t>油料作物种植面积。以红旗街、玻璃山镇、卧虎镇为重点，打</w:t>
      </w:r>
      <w:r>
        <w:rPr>
          <w:rFonts w:ascii="仿宋" w:hAnsi="仿宋" w:eastAsia="仿宋" w:cs="仿宋"/>
          <w:spacing w:val="13"/>
          <w:sz w:val="31"/>
          <w:szCs w:val="31"/>
        </w:rPr>
        <w:t>造优质花生种植基地，研发食用优质花生新品种，培</w:t>
      </w:r>
      <w:r>
        <w:rPr>
          <w:rFonts w:ascii="仿宋" w:hAnsi="仿宋" w:eastAsia="仿宋" w:cs="仿宋"/>
          <w:spacing w:val="12"/>
          <w:sz w:val="31"/>
          <w:szCs w:val="31"/>
        </w:rPr>
        <w:t>育种植专</w:t>
      </w:r>
      <w:r>
        <w:rPr>
          <w:rFonts w:ascii="仿宋" w:hAnsi="仿宋" w:eastAsia="仿宋" w:cs="仿宋"/>
          <w:spacing w:val="5"/>
          <w:sz w:val="31"/>
          <w:szCs w:val="31"/>
        </w:rPr>
        <w:t>业户，打造特色花生之乡。做强花生精深加工，发展</w:t>
      </w:r>
      <w:r>
        <w:rPr>
          <w:rFonts w:ascii="仿宋" w:hAnsi="仿宋" w:eastAsia="仿宋" w:cs="仿宋"/>
          <w:spacing w:val="4"/>
          <w:sz w:val="31"/>
          <w:szCs w:val="31"/>
        </w:rPr>
        <w:t>脱脂花生、</w:t>
      </w:r>
      <w:r>
        <w:rPr>
          <w:rFonts w:ascii="仿宋" w:hAnsi="仿宋" w:eastAsia="仿宋" w:cs="仿宋"/>
          <w:spacing w:val="11"/>
          <w:sz w:val="31"/>
          <w:szCs w:val="31"/>
        </w:rPr>
        <w:t>花生酱、花生油、花生肽、膨化花生等新产品，完</w:t>
      </w:r>
      <w:r>
        <w:rPr>
          <w:rFonts w:ascii="仿宋" w:hAnsi="仿宋" w:eastAsia="仿宋" w:cs="仿宋"/>
          <w:spacing w:val="10"/>
          <w:sz w:val="31"/>
          <w:szCs w:val="31"/>
        </w:rPr>
        <w:t>成“省级花</w:t>
      </w:r>
      <w:r>
        <w:rPr>
          <w:rFonts w:ascii="仿宋" w:hAnsi="仿宋" w:eastAsia="仿宋" w:cs="仿宋"/>
          <w:spacing w:val="11"/>
          <w:sz w:val="31"/>
          <w:szCs w:val="31"/>
        </w:rPr>
        <w:t>生现代农业产业园”的创建。依托杂粮杂豆现有产业基础，推</w:t>
      </w:r>
      <w:r>
        <w:rPr>
          <w:rFonts w:ascii="仿宋" w:hAnsi="仿宋" w:eastAsia="仿宋" w:cs="仿宋"/>
          <w:spacing w:val="9"/>
          <w:sz w:val="31"/>
          <w:szCs w:val="31"/>
        </w:rPr>
        <w:t>进农机农艺结合、良种良法配套，逐步开发以红豆、绿豆、黑</w:t>
      </w:r>
      <w:r>
        <w:rPr>
          <w:rFonts w:ascii="仿宋" w:hAnsi="仿宋" w:eastAsia="仿宋" w:cs="仿宋"/>
          <w:spacing w:val="5"/>
          <w:sz w:val="31"/>
          <w:szCs w:val="31"/>
        </w:rPr>
        <w:t>豆、荞麦为原料的系列保健食品，促进杂粮杂豆产业</w:t>
      </w:r>
      <w:r>
        <w:rPr>
          <w:rFonts w:ascii="仿宋" w:hAnsi="仿宋" w:eastAsia="仿宋" w:cs="仿宋"/>
          <w:spacing w:val="4"/>
          <w:sz w:val="31"/>
          <w:szCs w:val="31"/>
        </w:rPr>
        <w:t>提质增效。</w:t>
      </w:r>
      <w:r>
        <w:rPr>
          <w:rFonts w:ascii="仿宋" w:hAnsi="仿宋" w:eastAsia="仿宋" w:cs="仿宋"/>
          <w:spacing w:val="13"/>
          <w:sz w:val="31"/>
          <w:szCs w:val="31"/>
        </w:rPr>
        <w:t>加快建设那木乡林果业产业化基地建设，推进林果业</w:t>
      </w:r>
      <w:r>
        <w:rPr>
          <w:rFonts w:ascii="仿宋" w:hAnsi="仿宋" w:eastAsia="仿宋" w:cs="仿宋"/>
          <w:spacing w:val="12"/>
          <w:sz w:val="31"/>
          <w:szCs w:val="31"/>
        </w:rPr>
        <w:t>规模化发</w:t>
      </w:r>
      <w:r>
        <w:rPr>
          <w:rFonts w:ascii="仿宋" w:hAnsi="仿宋" w:eastAsia="仿宋" w:cs="仿宋"/>
          <w:spacing w:val="8"/>
          <w:sz w:val="31"/>
          <w:szCs w:val="31"/>
        </w:rPr>
        <w:t>展进程。到2025年，全市特色经济作物面积达到30万亩，特</w:t>
      </w:r>
      <w:r>
        <w:rPr>
          <w:rFonts w:ascii="仿宋" w:hAnsi="仿宋" w:eastAsia="仿宋" w:cs="仿宋"/>
          <w:spacing w:val="2"/>
          <w:sz w:val="31"/>
          <w:szCs w:val="31"/>
        </w:rPr>
        <w:t>色林果种植面积达到1.2万亩。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2" w:firstLineChars="200"/>
        <w:jc w:val="both"/>
        <w:textAlignment w:val="baseline"/>
        <w:outlineLvl w:val="2"/>
        <w:rPr>
          <w:rFonts w:ascii="仿宋" w:hAnsi="仿宋" w:eastAsia="仿宋" w:cs="仿宋"/>
          <w:sz w:val="31"/>
          <w:szCs w:val="31"/>
        </w:rPr>
      </w:pPr>
      <w:bookmarkStart w:id="50" w:name="_Toc17499"/>
      <w:r>
        <w:rPr>
          <w:rFonts w:ascii="仿宋" w:hAnsi="仿宋" w:eastAsia="仿宋" w:cs="仿宋"/>
          <w:b/>
          <w:bCs/>
          <w:spacing w:val="5"/>
          <w:sz w:val="31"/>
          <w:szCs w:val="31"/>
        </w:rPr>
        <w:t>3.发展林下、沙地作物</w:t>
      </w:r>
      <w:bookmarkEnd w:id="50"/>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充分利用林下空间，不断加强林下农作物种</w:t>
      </w:r>
      <w:r>
        <w:rPr>
          <w:rFonts w:ascii="仿宋" w:hAnsi="仿宋" w:eastAsia="仿宋" w:cs="仿宋"/>
          <w:spacing w:val="12"/>
          <w:sz w:val="31"/>
          <w:szCs w:val="31"/>
        </w:rPr>
        <w:t>植技术研发和</w:t>
      </w:r>
      <w:r>
        <w:rPr>
          <w:rFonts w:ascii="仿宋" w:hAnsi="仿宋" w:eastAsia="仿宋" w:cs="仿宋"/>
          <w:spacing w:val="13"/>
          <w:sz w:val="31"/>
          <w:szCs w:val="31"/>
        </w:rPr>
        <w:t>推广，重点扩大种植</w:t>
      </w:r>
      <w:r>
        <w:rPr>
          <w:rFonts w:hint="eastAsia" w:ascii="仿宋" w:hAnsi="仿宋" w:eastAsia="仿宋" w:cs="仿宋"/>
          <w:spacing w:val="13"/>
          <w:sz w:val="31"/>
          <w:szCs w:val="31"/>
          <w:lang w:eastAsia="zh-CN"/>
        </w:rPr>
        <w:t>射干</w:t>
      </w:r>
      <w:r>
        <w:rPr>
          <w:rFonts w:ascii="仿宋" w:hAnsi="仿宋" w:eastAsia="仿宋" w:cs="仿宋"/>
          <w:spacing w:val="13"/>
          <w:sz w:val="31"/>
          <w:szCs w:val="31"/>
        </w:rPr>
        <w:t>、防风、</w:t>
      </w:r>
      <w:r>
        <w:rPr>
          <w:rFonts w:hint="eastAsia" w:ascii="仿宋" w:hAnsi="仿宋" w:eastAsia="仿宋" w:cs="仿宋"/>
          <w:spacing w:val="13"/>
          <w:sz w:val="31"/>
          <w:szCs w:val="31"/>
          <w:lang w:eastAsia="zh-CN"/>
        </w:rPr>
        <w:t>芍药</w:t>
      </w:r>
      <w:r>
        <w:rPr>
          <w:rFonts w:ascii="仿宋" w:hAnsi="仿宋" w:eastAsia="仿宋" w:cs="仿宋"/>
          <w:spacing w:val="13"/>
          <w:sz w:val="31"/>
          <w:szCs w:val="31"/>
        </w:rPr>
        <w:t>等中草药面积，支持蘑菇、木耳等林下农作物种植。加强沙地生态治理，推进沙地作物种植产学研结合，突破技术瓶颈，积极引进适宜沙地生长</w:t>
      </w:r>
      <w:r>
        <w:rPr>
          <w:rFonts w:ascii="仿宋" w:hAnsi="仿宋" w:eastAsia="仿宋" w:cs="仿宋"/>
          <w:spacing w:val="9"/>
          <w:sz w:val="31"/>
          <w:szCs w:val="31"/>
        </w:rPr>
        <w:t>的作物品种，实现林下、沙地生态效益与农民收入双提高。</w:t>
      </w:r>
    </w:p>
    <w:p>
      <w:pPr>
        <w:pStyle w:val="11"/>
        <w:keepNext w:val="0"/>
        <w:keepLines w:val="0"/>
        <w:pageBreakBefore w:val="0"/>
        <w:widowControl w:val="0"/>
        <w:kinsoku/>
        <w:wordWrap/>
        <w:overflowPunct w:val="0"/>
        <w:topLinePunct w:val="0"/>
        <w:bidi w:val="0"/>
        <w:snapToGrid w:val="0"/>
        <w:spacing w:line="360" w:lineRule="auto"/>
        <w:jc w:val="center"/>
        <w:outlineLvl w:val="1"/>
        <w:rPr>
          <w:rFonts w:hint="eastAsia" w:ascii="Arial" w:hAnsi="Arial" w:eastAsia="Arial" w:cs="Arial"/>
          <w:b/>
          <w:bCs/>
          <w:snapToGrid w:val="0"/>
          <w:color w:val="000000"/>
          <w:kern w:val="0"/>
          <w:sz w:val="24"/>
          <w:szCs w:val="24"/>
          <w:highlight w:val="none"/>
          <w:lang w:val="en-US" w:eastAsia="zh-CN" w:bidi="ar-SA"/>
        </w:rPr>
      </w:pPr>
      <w:bookmarkStart w:id="51" w:name="bookmark29"/>
      <w:bookmarkEnd w:id="51"/>
      <w:bookmarkStart w:id="52" w:name="_Toc15755"/>
    </w:p>
    <w:p>
      <w:pPr>
        <w:pStyle w:val="11"/>
        <w:keepNext w:val="0"/>
        <w:keepLines w:val="0"/>
        <w:pageBreakBefore w:val="0"/>
        <w:widowControl w:val="0"/>
        <w:kinsoku/>
        <w:wordWrap/>
        <w:overflowPunct w:val="0"/>
        <w:topLinePunct w:val="0"/>
        <w:bidi w:val="0"/>
        <w:snapToGrid w:val="0"/>
        <w:spacing w:line="360" w:lineRule="auto"/>
        <w:jc w:val="center"/>
        <w:outlineLvl w:val="1"/>
        <w:rPr>
          <w:rFonts w:hint="eastAsia" w:ascii="Arial" w:hAnsi="Arial" w:eastAsia="Arial" w:cs="Arial"/>
          <w:b/>
          <w:bCs/>
          <w:snapToGrid w:val="0"/>
          <w:color w:val="000000"/>
          <w:kern w:val="0"/>
          <w:sz w:val="24"/>
          <w:szCs w:val="24"/>
          <w:highlight w:val="none"/>
          <w:lang w:val="en-US" w:eastAsia="zh-CN" w:bidi="ar-SA"/>
        </w:rPr>
      </w:pPr>
      <w:r>
        <w:rPr>
          <w:rFonts w:hint="eastAsia" w:ascii="Arial" w:hAnsi="Arial" w:eastAsia="Arial" w:cs="Arial"/>
          <w:b/>
          <w:bCs/>
          <w:snapToGrid w:val="0"/>
          <w:color w:val="000000"/>
          <w:kern w:val="0"/>
          <w:sz w:val="24"/>
          <w:szCs w:val="24"/>
          <w:highlight w:val="none"/>
          <w:lang w:val="en-US" w:eastAsia="zh-CN" w:bidi="ar-SA"/>
        </w:rPr>
        <w:t>专栏3发展特色多元产业重点项目</w:t>
      </w:r>
      <w:bookmarkEnd w:id="52"/>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9241" w:type="dxa"/>
            <w:noWrap w:val="0"/>
            <w:vAlign w:val="top"/>
          </w:tcPr>
          <w:p>
            <w:pPr>
              <w:keepNext w:val="0"/>
              <w:keepLines w:val="0"/>
              <w:pageBreakBefore w:val="0"/>
              <w:widowControl w:val="0"/>
              <w:kinsoku/>
              <w:wordWrap/>
              <w:overflowPunct w:val="0"/>
              <w:topLinePunct w:val="0"/>
              <w:bidi w:val="0"/>
              <w:spacing w:line="360" w:lineRule="auto"/>
              <w:ind w:firstLine="560"/>
              <w:jc w:val="both"/>
              <w:rPr>
                <w:rFonts w:hint="eastAsia"/>
                <w:b/>
                <w:bCs/>
                <w:sz w:val="24"/>
                <w:szCs w:val="24"/>
                <w:lang w:eastAsia="zh-CN"/>
              </w:rPr>
            </w:pPr>
            <w:r>
              <w:rPr>
                <w:rFonts w:hint="eastAsia"/>
                <w:b/>
                <w:bCs/>
                <w:sz w:val="24"/>
                <w:szCs w:val="24"/>
              </w:rPr>
              <w:t>1.</w:t>
            </w:r>
            <w:r>
              <w:rPr>
                <w:rFonts w:hint="eastAsia"/>
                <w:b/>
                <w:bCs/>
                <w:sz w:val="24"/>
                <w:szCs w:val="24"/>
                <w:lang w:eastAsia="zh-CN"/>
              </w:rPr>
              <w:t>创建“</w:t>
            </w:r>
            <w:r>
              <w:rPr>
                <w:rFonts w:hint="eastAsia"/>
                <w:b/>
                <w:bCs/>
                <w:sz w:val="24"/>
                <w:szCs w:val="24"/>
              </w:rPr>
              <w:t>省级</w:t>
            </w:r>
            <w:r>
              <w:rPr>
                <w:rFonts w:hint="eastAsia"/>
                <w:b/>
                <w:bCs/>
                <w:sz w:val="24"/>
                <w:szCs w:val="24"/>
                <w:lang w:eastAsia="zh-CN"/>
              </w:rPr>
              <w:t>水稻现代农业产业园”建设项目</w:t>
            </w:r>
          </w:p>
          <w:p>
            <w:pPr>
              <w:keepNext w:val="0"/>
              <w:keepLines w:val="0"/>
              <w:pageBreakBefore w:val="0"/>
              <w:widowControl w:val="0"/>
              <w:kinsoku/>
              <w:wordWrap/>
              <w:overflowPunct w:val="0"/>
              <w:topLinePunct w:val="0"/>
              <w:bidi w:val="0"/>
              <w:spacing w:line="360" w:lineRule="auto"/>
              <w:ind w:firstLine="560"/>
              <w:jc w:val="both"/>
              <w:rPr>
                <w:rFonts w:hint="eastAsia"/>
              </w:rPr>
            </w:pPr>
            <w:r>
              <w:rPr>
                <w:rFonts w:hint="eastAsia"/>
                <w:sz w:val="24"/>
                <w:szCs w:val="24"/>
                <w:lang w:eastAsia="zh-CN"/>
              </w:rPr>
              <w:t>每年投资</w:t>
            </w:r>
            <w:r>
              <w:rPr>
                <w:rFonts w:hint="eastAsia"/>
                <w:sz w:val="24"/>
                <w:szCs w:val="24"/>
                <w:lang w:val="en-US" w:eastAsia="zh-CN"/>
              </w:rPr>
              <w:t>200万元左右，</w:t>
            </w:r>
            <w:r>
              <w:rPr>
                <w:rFonts w:hint="eastAsia"/>
                <w:sz w:val="24"/>
                <w:szCs w:val="24"/>
                <w:lang w:eastAsia="zh-CN"/>
              </w:rPr>
              <w:t>以新立乡</w:t>
            </w:r>
            <w:r>
              <w:rPr>
                <w:rFonts w:hint="eastAsia"/>
                <w:sz w:val="24"/>
                <w:szCs w:val="24"/>
                <w:lang w:val="en-US" w:eastAsia="zh-CN"/>
              </w:rPr>
              <w:t>8万亩优质水稻种植区</w:t>
            </w:r>
            <w:r>
              <w:rPr>
                <w:rFonts w:hint="eastAsia"/>
                <w:sz w:val="24"/>
                <w:szCs w:val="24"/>
                <w:lang w:eastAsia="zh-CN"/>
              </w:rPr>
              <w:t>为中心，辐射柳条、东明、王奔和双山</w:t>
            </w:r>
            <w:r>
              <w:rPr>
                <w:rFonts w:hint="eastAsia"/>
                <w:sz w:val="24"/>
                <w:szCs w:val="24"/>
              </w:rPr>
              <w:t>共76个行政村和9个农村社区</w:t>
            </w:r>
            <w:r>
              <w:rPr>
                <w:rFonts w:hint="eastAsia"/>
                <w:sz w:val="24"/>
                <w:szCs w:val="24"/>
                <w:lang w:eastAsia="zh-CN"/>
              </w:rPr>
              <w:t>。建设目标：</w:t>
            </w:r>
            <w:r>
              <w:rPr>
                <w:rFonts w:hint="eastAsia"/>
                <w:sz w:val="24"/>
                <w:szCs w:val="24"/>
              </w:rPr>
              <w:t>主导产业竞争力显著提高</w:t>
            </w:r>
            <w:r>
              <w:rPr>
                <w:rFonts w:hint="eastAsia"/>
                <w:sz w:val="24"/>
                <w:szCs w:val="24"/>
                <w:lang w:eastAsia="zh-CN"/>
              </w:rPr>
              <w:t>、</w:t>
            </w:r>
            <w:r>
              <w:rPr>
                <w:rFonts w:hint="eastAsia"/>
                <w:sz w:val="24"/>
                <w:szCs w:val="24"/>
              </w:rPr>
              <w:t>科技装备水平明显提升</w:t>
            </w:r>
            <w:r>
              <w:rPr>
                <w:rFonts w:hint="eastAsia"/>
                <w:sz w:val="24"/>
                <w:szCs w:val="24"/>
                <w:lang w:eastAsia="zh-CN"/>
              </w:rPr>
              <w:t>、</w:t>
            </w:r>
            <w:r>
              <w:rPr>
                <w:rFonts w:hint="eastAsia"/>
                <w:sz w:val="24"/>
                <w:szCs w:val="24"/>
              </w:rPr>
              <w:t>参建主体力量更加强大</w:t>
            </w:r>
            <w:r>
              <w:rPr>
                <w:rFonts w:hint="eastAsia"/>
                <w:sz w:val="24"/>
                <w:szCs w:val="24"/>
                <w:lang w:eastAsia="zh-CN"/>
              </w:rPr>
              <w:t>、</w:t>
            </w:r>
            <w:r>
              <w:rPr>
                <w:rFonts w:hint="eastAsia"/>
                <w:sz w:val="24"/>
                <w:szCs w:val="24"/>
              </w:rPr>
              <w:t>绿色发展迈出新步伐</w:t>
            </w:r>
            <w:r>
              <w:rPr>
                <w:rFonts w:hint="eastAsia"/>
                <w:sz w:val="24"/>
                <w:szCs w:val="24"/>
                <w:lang w:eastAsia="zh-CN"/>
              </w:rPr>
              <w:t>、</w:t>
            </w:r>
            <w:r>
              <w:rPr>
                <w:rFonts w:hint="eastAsia"/>
                <w:sz w:val="24"/>
                <w:szCs w:val="24"/>
              </w:rPr>
              <w:t>联农带动取得新成效。</w:t>
            </w:r>
          </w:p>
          <w:p>
            <w:pPr>
              <w:keepNext w:val="0"/>
              <w:keepLines w:val="0"/>
              <w:pageBreakBefore w:val="0"/>
              <w:widowControl w:val="0"/>
              <w:kinsoku/>
              <w:wordWrap/>
              <w:overflowPunct w:val="0"/>
              <w:topLinePunct w:val="0"/>
              <w:bidi w:val="0"/>
              <w:spacing w:line="360" w:lineRule="auto"/>
              <w:ind w:firstLine="560"/>
              <w:jc w:val="both"/>
              <w:rPr>
                <w:rFonts w:hint="eastAsia"/>
                <w:b/>
                <w:bCs/>
                <w:sz w:val="24"/>
                <w:szCs w:val="24"/>
              </w:rPr>
            </w:pPr>
            <w:r>
              <w:rPr>
                <w:rFonts w:hint="eastAsia"/>
                <w:b/>
                <w:bCs/>
                <w:sz w:val="24"/>
                <w:szCs w:val="24"/>
              </w:rPr>
              <w:t>2.创建“省级花生现代农业产业园”</w:t>
            </w:r>
            <w:r>
              <w:rPr>
                <w:rFonts w:hint="eastAsia"/>
                <w:b/>
                <w:bCs/>
                <w:sz w:val="24"/>
                <w:szCs w:val="24"/>
                <w:lang w:eastAsia="zh-CN"/>
              </w:rPr>
              <w:t>建设</w:t>
            </w:r>
            <w:r>
              <w:rPr>
                <w:rFonts w:hint="eastAsia"/>
                <w:b/>
                <w:bCs/>
                <w:sz w:val="24"/>
                <w:szCs w:val="24"/>
              </w:rPr>
              <w:t>项目</w:t>
            </w:r>
          </w:p>
          <w:p>
            <w:pPr>
              <w:keepNext w:val="0"/>
              <w:keepLines w:val="0"/>
              <w:pageBreakBefore w:val="0"/>
              <w:widowControl w:val="0"/>
              <w:kinsoku/>
              <w:wordWrap/>
              <w:overflowPunct w:val="0"/>
              <w:topLinePunct w:val="0"/>
              <w:bidi w:val="0"/>
              <w:spacing w:line="360" w:lineRule="auto"/>
              <w:ind w:firstLine="560"/>
              <w:jc w:val="both"/>
              <w:rPr>
                <w:rFonts w:hint="eastAsia"/>
                <w:sz w:val="24"/>
                <w:szCs w:val="24"/>
              </w:rPr>
            </w:pPr>
            <w:r>
              <w:rPr>
                <w:rFonts w:hint="eastAsia"/>
                <w:sz w:val="24"/>
                <w:szCs w:val="24"/>
              </w:rPr>
              <w:t>每年投资200万左右，以红旗街10万亩种植区为核心，以卧虎镇、玻璃山镇、茂林镇和服先镇四个乡镇为依托，创建省级“花生现代农业产业园”。支持产业园基础设施建设</w:t>
            </w:r>
            <w:r>
              <w:rPr>
                <w:rFonts w:hint="eastAsia"/>
                <w:sz w:val="24"/>
                <w:szCs w:val="24"/>
                <w:lang w:eastAsia="zh-CN"/>
              </w:rPr>
              <w:t>和</w:t>
            </w:r>
            <w:r>
              <w:rPr>
                <w:rFonts w:hint="eastAsia"/>
                <w:sz w:val="24"/>
                <w:szCs w:val="24"/>
              </w:rPr>
              <w:t>科技创新、农业生产重大技术措施在产业园的推广示范。</w:t>
            </w:r>
          </w:p>
          <w:p>
            <w:pPr>
              <w:keepNext w:val="0"/>
              <w:keepLines w:val="0"/>
              <w:pageBreakBefore w:val="0"/>
              <w:widowControl w:val="0"/>
              <w:kinsoku/>
              <w:wordWrap/>
              <w:overflowPunct w:val="0"/>
              <w:topLinePunct w:val="0"/>
              <w:bidi w:val="0"/>
              <w:spacing w:line="360" w:lineRule="auto"/>
              <w:ind w:firstLine="560"/>
              <w:jc w:val="both"/>
              <w:rPr>
                <w:rFonts w:hint="eastAsia"/>
                <w:b/>
                <w:bCs/>
                <w:sz w:val="24"/>
                <w:szCs w:val="24"/>
              </w:rPr>
            </w:pPr>
            <w:r>
              <w:rPr>
                <w:rFonts w:hint="eastAsia"/>
                <w:b/>
                <w:bCs/>
                <w:sz w:val="24"/>
                <w:szCs w:val="24"/>
              </w:rPr>
              <w:t>3.西甜瓜绿色高质高效生产项目</w:t>
            </w:r>
          </w:p>
          <w:p>
            <w:pPr>
              <w:keepNext w:val="0"/>
              <w:keepLines w:val="0"/>
              <w:pageBreakBefore w:val="0"/>
              <w:widowControl w:val="0"/>
              <w:kinsoku/>
              <w:wordWrap/>
              <w:overflowPunct w:val="0"/>
              <w:topLinePunct w:val="0"/>
              <w:bidi w:val="0"/>
              <w:spacing w:line="360" w:lineRule="auto"/>
              <w:ind w:firstLine="560"/>
              <w:jc w:val="both"/>
              <w:rPr>
                <w:rFonts w:hint="eastAsia"/>
                <w:sz w:val="24"/>
                <w:szCs w:val="24"/>
              </w:rPr>
            </w:pPr>
            <w:r>
              <w:rPr>
                <w:rFonts w:hint="eastAsia"/>
                <w:sz w:val="24"/>
                <w:szCs w:val="24"/>
              </w:rPr>
              <w:t>项目总投资277万元，主要建设以服先镇姜家村为主的面积为1050亩核心示范区和王奔等9个乡镇总面积2万余亩的辐射带动区。推广西甜瓜膜下滴灌水肥一体化栽培技术。</w:t>
            </w:r>
          </w:p>
          <w:p>
            <w:pPr>
              <w:keepNext w:val="0"/>
              <w:keepLines w:val="0"/>
              <w:pageBreakBefore w:val="0"/>
              <w:widowControl w:val="0"/>
              <w:kinsoku/>
              <w:wordWrap/>
              <w:overflowPunct w:val="0"/>
              <w:topLinePunct w:val="0"/>
              <w:bidi w:val="0"/>
              <w:spacing w:line="360" w:lineRule="auto"/>
              <w:ind w:firstLine="560"/>
              <w:jc w:val="both"/>
              <w:rPr>
                <w:rFonts w:hint="eastAsia"/>
                <w:b/>
                <w:bCs/>
                <w:sz w:val="24"/>
                <w:szCs w:val="24"/>
              </w:rPr>
            </w:pPr>
            <w:r>
              <w:rPr>
                <w:rFonts w:hint="eastAsia"/>
                <w:b/>
                <w:bCs/>
                <w:sz w:val="24"/>
                <w:szCs w:val="24"/>
              </w:rPr>
              <w:t>4.双辽市棚膜园区建设项目</w:t>
            </w:r>
          </w:p>
          <w:p>
            <w:pPr>
              <w:keepNext w:val="0"/>
              <w:keepLines w:val="0"/>
              <w:pageBreakBefore w:val="0"/>
              <w:widowControl w:val="0"/>
              <w:kinsoku/>
              <w:wordWrap/>
              <w:overflowPunct w:val="0"/>
              <w:topLinePunct w:val="0"/>
              <w:bidi w:val="0"/>
              <w:spacing w:line="360" w:lineRule="auto"/>
              <w:ind w:firstLine="560"/>
              <w:jc w:val="both"/>
              <w:rPr>
                <w:rFonts w:hint="eastAsia"/>
                <w:sz w:val="24"/>
                <w:szCs w:val="24"/>
              </w:rPr>
            </w:pPr>
            <w:r>
              <w:rPr>
                <w:rFonts w:hint="eastAsia"/>
                <w:sz w:val="24"/>
                <w:szCs w:val="24"/>
              </w:rPr>
              <w:t>项目总投入资金5096.92万元，在那木乡那木村建设棚室、业务用房、看护房及配套设施等。主要包括大棚17栋、建筑面积81006.00㎡；业务用房1座、建筑面积173.00㎡；管护房32处，每处建筑面积12.00㎡，总建筑面积384.00㎡。设备购置215台（套、个）。</w:t>
            </w:r>
          </w:p>
          <w:p>
            <w:pPr>
              <w:keepNext w:val="0"/>
              <w:keepLines w:val="0"/>
              <w:pageBreakBefore w:val="0"/>
              <w:widowControl w:val="0"/>
              <w:kinsoku/>
              <w:wordWrap/>
              <w:overflowPunct w:val="0"/>
              <w:topLinePunct w:val="0"/>
              <w:bidi w:val="0"/>
              <w:spacing w:line="360" w:lineRule="auto"/>
              <w:ind w:firstLine="560"/>
              <w:jc w:val="both"/>
              <w:rPr>
                <w:rFonts w:hint="eastAsia"/>
                <w:b/>
                <w:bCs/>
                <w:sz w:val="24"/>
                <w:szCs w:val="24"/>
              </w:rPr>
            </w:pPr>
            <w:r>
              <w:rPr>
                <w:rFonts w:hint="eastAsia"/>
                <w:b/>
                <w:bCs/>
                <w:sz w:val="24"/>
                <w:szCs w:val="24"/>
              </w:rPr>
              <w:t>5.双辽市千亩林下中草药现代化种植示范园区项目</w:t>
            </w:r>
          </w:p>
          <w:p>
            <w:pPr>
              <w:keepNext w:val="0"/>
              <w:keepLines w:val="0"/>
              <w:pageBreakBefore w:val="0"/>
              <w:widowControl w:val="0"/>
              <w:kinsoku/>
              <w:wordWrap/>
              <w:overflowPunct w:val="0"/>
              <w:topLinePunct w:val="0"/>
              <w:bidi w:val="0"/>
              <w:spacing w:line="360" w:lineRule="auto"/>
              <w:ind w:firstLine="560"/>
              <w:jc w:val="both"/>
              <w:rPr>
                <w:rFonts w:hint="eastAsia"/>
                <w:sz w:val="24"/>
                <w:szCs w:val="24"/>
              </w:rPr>
            </w:pPr>
            <w:r>
              <w:rPr>
                <w:rFonts w:hint="eastAsia"/>
                <w:sz w:val="24"/>
                <w:szCs w:val="24"/>
              </w:rPr>
              <w:t>利用双辽市国有林总场实验分场1600亩林下地，种植防风1300亩，芍药、射干300亩。采取合作社＋农户模式，带动农户增收，人均</w:t>
            </w:r>
            <w:r>
              <w:rPr>
                <w:rFonts w:hint="eastAsia"/>
                <w:sz w:val="24"/>
                <w:szCs w:val="24"/>
                <w:lang w:eastAsia="zh-CN"/>
              </w:rPr>
              <w:t>增</w:t>
            </w:r>
            <w:r>
              <w:rPr>
                <w:rFonts w:hint="eastAsia"/>
                <w:sz w:val="24"/>
                <w:szCs w:val="24"/>
              </w:rPr>
              <w:t>收5000元以上。</w:t>
            </w:r>
          </w:p>
          <w:p>
            <w:pPr>
              <w:keepNext w:val="0"/>
              <w:keepLines w:val="0"/>
              <w:pageBreakBefore w:val="0"/>
              <w:widowControl w:val="0"/>
              <w:kinsoku/>
              <w:wordWrap/>
              <w:overflowPunct w:val="0"/>
              <w:topLinePunct w:val="0"/>
              <w:bidi w:val="0"/>
              <w:spacing w:line="360" w:lineRule="auto"/>
              <w:ind w:firstLine="560"/>
              <w:jc w:val="both"/>
              <w:rPr>
                <w:rFonts w:hint="default"/>
                <w:b/>
                <w:bCs/>
                <w:sz w:val="24"/>
                <w:szCs w:val="24"/>
                <w:lang w:val="en-US" w:eastAsia="zh-CN"/>
              </w:rPr>
            </w:pPr>
            <w:r>
              <w:rPr>
                <w:rFonts w:hint="eastAsia"/>
                <w:b/>
                <w:bCs/>
                <w:sz w:val="24"/>
                <w:szCs w:val="24"/>
                <w:lang w:val="en-US" w:eastAsia="zh-CN"/>
              </w:rPr>
              <w:t>6.四平市双辽种羊场鲜食玉米加工建设项目</w:t>
            </w:r>
          </w:p>
          <w:p>
            <w:pPr>
              <w:keepNext w:val="0"/>
              <w:keepLines w:val="0"/>
              <w:pageBreakBefore w:val="0"/>
              <w:widowControl w:val="0"/>
              <w:kinsoku/>
              <w:wordWrap/>
              <w:overflowPunct w:val="0"/>
              <w:topLinePunct w:val="0"/>
              <w:bidi w:val="0"/>
              <w:spacing w:line="360" w:lineRule="auto"/>
              <w:ind w:firstLine="560"/>
              <w:jc w:val="both"/>
              <w:rPr>
                <w:rFonts w:hint="eastAsia"/>
                <w:b w:val="0"/>
                <w:bCs w:val="0"/>
                <w:sz w:val="24"/>
                <w:szCs w:val="24"/>
                <w:lang w:val="en-US" w:eastAsia="zh-CN"/>
              </w:rPr>
            </w:pPr>
            <w:r>
              <w:rPr>
                <w:rFonts w:hint="eastAsia"/>
                <w:b w:val="0"/>
                <w:bCs w:val="0"/>
                <w:sz w:val="24"/>
                <w:szCs w:val="24"/>
                <w:lang w:val="en-US" w:eastAsia="zh-CN"/>
              </w:rPr>
              <w:t>项目总投资</w:t>
            </w:r>
            <w:r>
              <w:rPr>
                <w:rFonts w:hint="default"/>
                <w:b w:val="0"/>
                <w:bCs w:val="0"/>
                <w:sz w:val="24"/>
                <w:szCs w:val="24"/>
                <w:lang w:val="en-US" w:eastAsia="zh-CN"/>
              </w:rPr>
              <w:t>1762</w:t>
            </w:r>
            <w:r>
              <w:rPr>
                <w:rFonts w:hint="eastAsia"/>
                <w:b w:val="0"/>
                <w:bCs w:val="0"/>
                <w:sz w:val="24"/>
                <w:szCs w:val="24"/>
                <w:lang w:val="en-US" w:eastAsia="zh-CN"/>
              </w:rPr>
              <w:t>万元，生产鲜玉米450万穗。一是出租收益年120万元左右。二是为当地新增100个就业岗位。三是通过项目的示范带动作用，可使当地特色甜糯玉米种植面积进一步扩大，种植农户每公顷增加收入5000元左右。</w:t>
            </w:r>
          </w:p>
          <w:p>
            <w:pPr>
              <w:keepNext w:val="0"/>
              <w:keepLines w:val="0"/>
              <w:pageBreakBefore w:val="0"/>
              <w:widowControl w:val="0"/>
              <w:kinsoku/>
              <w:wordWrap/>
              <w:overflowPunct w:val="0"/>
              <w:topLinePunct w:val="0"/>
              <w:bidi w:val="0"/>
              <w:spacing w:line="360" w:lineRule="auto"/>
              <w:ind w:firstLine="560"/>
              <w:jc w:val="both"/>
              <w:rPr>
                <w:rFonts w:hint="default"/>
                <w:b/>
                <w:bCs/>
                <w:sz w:val="24"/>
                <w:szCs w:val="24"/>
                <w:lang w:val="en-US" w:eastAsia="zh-CN"/>
              </w:rPr>
            </w:pPr>
            <w:r>
              <w:rPr>
                <w:rFonts w:hint="eastAsia"/>
                <w:b/>
                <w:bCs/>
                <w:sz w:val="24"/>
                <w:szCs w:val="24"/>
                <w:lang w:val="en-US" w:eastAsia="zh-CN"/>
              </w:rPr>
              <w:t>7.双辽市柳条乡厚俗村蔬菜棚膜园区建设项目</w:t>
            </w:r>
          </w:p>
          <w:p>
            <w:pPr>
              <w:keepNext w:val="0"/>
              <w:keepLines w:val="0"/>
              <w:pageBreakBefore w:val="0"/>
              <w:widowControl w:val="0"/>
              <w:kinsoku/>
              <w:wordWrap/>
              <w:overflowPunct w:val="0"/>
              <w:topLinePunct w:val="0"/>
              <w:bidi w:val="0"/>
              <w:spacing w:line="360" w:lineRule="auto"/>
              <w:ind w:firstLine="560"/>
              <w:jc w:val="both"/>
              <w:rPr>
                <w:rFonts w:hint="eastAsia" w:ascii="Arial" w:hAnsi="Arial" w:eastAsia="Arial" w:cs="仿宋"/>
                <w:b/>
                <w:bCs/>
                <w:snapToGrid w:val="0"/>
                <w:color w:val="000000"/>
                <w:kern w:val="21"/>
                <w:sz w:val="24"/>
                <w:szCs w:val="24"/>
                <w:lang w:val="en-US" w:eastAsia="zh-CN"/>
              </w:rPr>
            </w:pPr>
            <w:r>
              <w:rPr>
                <w:rFonts w:hint="eastAsia"/>
                <w:b w:val="0"/>
                <w:bCs w:val="0"/>
                <w:sz w:val="24"/>
                <w:szCs w:val="24"/>
                <w:lang w:val="en-US" w:eastAsia="zh-CN"/>
              </w:rPr>
              <w:t>总投资</w:t>
            </w:r>
            <w:r>
              <w:rPr>
                <w:rFonts w:hint="default"/>
                <w:b w:val="0"/>
                <w:bCs w:val="0"/>
                <w:sz w:val="24"/>
                <w:szCs w:val="24"/>
                <w:lang w:val="en-US" w:eastAsia="zh-CN"/>
              </w:rPr>
              <w:t>1040</w:t>
            </w:r>
            <w:r>
              <w:rPr>
                <w:rFonts w:hint="eastAsia"/>
                <w:b w:val="0"/>
                <w:bCs w:val="0"/>
                <w:sz w:val="24"/>
                <w:szCs w:val="24"/>
                <w:lang w:val="en-US" w:eastAsia="zh-CN"/>
              </w:rPr>
              <w:t>万元，共完成40栋大棚建设。</w:t>
            </w:r>
            <w:r>
              <w:rPr>
                <w:rFonts w:hint="eastAsia"/>
                <w:b w:val="0"/>
                <w:bCs w:val="0"/>
                <w:sz w:val="24"/>
                <w:szCs w:val="24"/>
                <w:lang w:val="en-US" w:eastAsia="en-US"/>
              </w:rPr>
              <w:t>每栋每年收入可达12万元左右（种植三茬蔬菜）</w:t>
            </w:r>
            <w:r>
              <w:rPr>
                <w:rFonts w:hint="eastAsia"/>
                <w:b w:val="0"/>
                <w:bCs w:val="0"/>
                <w:sz w:val="24"/>
                <w:szCs w:val="24"/>
                <w:lang w:val="en-US" w:eastAsia="zh-CN"/>
              </w:rPr>
              <w:t>，</w:t>
            </w:r>
            <w:r>
              <w:rPr>
                <w:rFonts w:hint="eastAsia"/>
                <w:b w:val="0"/>
                <w:bCs w:val="0"/>
                <w:sz w:val="24"/>
                <w:szCs w:val="24"/>
                <w:lang w:val="en-US" w:eastAsia="en-US"/>
              </w:rPr>
              <w:t>解决本村及周边村普通劳动力和部分脱贫劳动力12000人次的就业问题，</w:t>
            </w:r>
            <w:r>
              <w:rPr>
                <w:rFonts w:hint="eastAsia"/>
                <w:b w:val="0"/>
                <w:bCs w:val="0"/>
                <w:sz w:val="24"/>
                <w:szCs w:val="24"/>
                <w:lang w:val="en-US" w:eastAsia="zh-CN"/>
              </w:rPr>
              <w:t>使农</w:t>
            </w:r>
            <w:r>
              <w:rPr>
                <w:rFonts w:hint="eastAsia"/>
                <w:b w:val="0"/>
                <w:bCs w:val="0"/>
                <w:sz w:val="24"/>
                <w:szCs w:val="24"/>
                <w:lang w:val="en-US" w:eastAsia="en-US"/>
              </w:rPr>
              <w:t>户能够持续增收。</w:t>
            </w:r>
          </w:p>
          <w:p>
            <w:pPr>
              <w:keepNext w:val="0"/>
              <w:keepLines w:val="0"/>
              <w:pageBreakBefore w:val="0"/>
              <w:widowControl w:val="0"/>
              <w:kinsoku/>
              <w:wordWrap/>
              <w:overflowPunct w:val="0"/>
              <w:topLinePunct w:val="0"/>
              <w:bidi w:val="0"/>
              <w:spacing w:line="360" w:lineRule="auto"/>
              <w:ind w:firstLine="560"/>
              <w:jc w:val="both"/>
              <w:rPr>
                <w:rFonts w:hint="default"/>
                <w:b/>
                <w:bCs/>
                <w:sz w:val="24"/>
                <w:szCs w:val="24"/>
                <w:lang w:val="en-US" w:eastAsia="zh-CN"/>
              </w:rPr>
            </w:pPr>
            <w:r>
              <w:rPr>
                <w:rFonts w:hint="eastAsia"/>
                <w:b/>
                <w:bCs/>
                <w:sz w:val="24"/>
                <w:szCs w:val="24"/>
                <w:lang w:val="en-US" w:eastAsia="zh-CN"/>
              </w:rPr>
              <w:t>8.双辽市乐丰棚膜示范园建设项目</w:t>
            </w:r>
          </w:p>
          <w:p>
            <w:pPr>
              <w:keepNext w:val="0"/>
              <w:keepLines w:val="0"/>
              <w:pageBreakBefore w:val="0"/>
              <w:widowControl w:val="0"/>
              <w:kinsoku/>
              <w:wordWrap/>
              <w:overflowPunct w:val="0"/>
              <w:topLinePunct w:val="0"/>
              <w:bidi w:val="0"/>
              <w:spacing w:line="360" w:lineRule="auto"/>
              <w:ind w:firstLine="560"/>
              <w:jc w:val="both"/>
              <w:rPr>
                <w:rFonts w:hint="eastAsia"/>
                <w:b w:val="0"/>
                <w:bCs w:val="0"/>
                <w:sz w:val="24"/>
                <w:szCs w:val="24"/>
                <w:lang w:val="en-US" w:eastAsia="zh-CN"/>
              </w:rPr>
            </w:pPr>
            <w:r>
              <w:rPr>
                <w:rFonts w:hint="eastAsia"/>
                <w:b w:val="0"/>
                <w:bCs w:val="0"/>
                <w:sz w:val="24"/>
                <w:szCs w:val="24"/>
                <w:lang w:val="en-US" w:eastAsia="zh-CN"/>
              </w:rPr>
              <w:t>总投资</w:t>
            </w:r>
            <w:r>
              <w:rPr>
                <w:rFonts w:hint="default"/>
                <w:b w:val="0"/>
                <w:bCs w:val="0"/>
                <w:sz w:val="24"/>
                <w:szCs w:val="24"/>
                <w:lang w:val="en-US" w:eastAsia="zh-CN"/>
              </w:rPr>
              <w:t>3268.72</w:t>
            </w:r>
            <w:r>
              <w:rPr>
                <w:rFonts w:hint="eastAsia"/>
                <w:b w:val="0"/>
                <w:bCs w:val="0"/>
                <w:sz w:val="24"/>
                <w:szCs w:val="24"/>
                <w:lang w:val="en-US" w:eastAsia="zh-CN"/>
              </w:rPr>
              <w:t>万元，占地面积62640㎡，建筑面积为9324㎡。通过种植棚室蔬菜、水果，延长冬季蔬菜、水果生产，丰富特色产业发展，增加农民收入。</w:t>
            </w:r>
          </w:p>
          <w:p>
            <w:pPr>
              <w:keepNext w:val="0"/>
              <w:keepLines w:val="0"/>
              <w:pageBreakBefore w:val="0"/>
              <w:widowControl w:val="0"/>
              <w:kinsoku/>
              <w:wordWrap/>
              <w:overflowPunct w:val="0"/>
              <w:topLinePunct w:val="0"/>
              <w:bidi w:val="0"/>
              <w:spacing w:line="360" w:lineRule="auto"/>
              <w:ind w:firstLine="560"/>
              <w:jc w:val="both"/>
              <w:rPr>
                <w:rFonts w:hint="eastAsia"/>
                <w:b/>
                <w:bCs/>
                <w:sz w:val="24"/>
                <w:szCs w:val="24"/>
                <w:lang w:val="en-US" w:eastAsia="zh-CN"/>
              </w:rPr>
            </w:pPr>
          </w:p>
          <w:p>
            <w:pPr>
              <w:pStyle w:val="2"/>
              <w:keepNext w:val="0"/>
              <w:keepLines w:val="0"/>
              <w:pageBreakBefore w:val="0"/>
              <w:widowControl w:val="0"/>
              <w:kinsoku/>
              <w:wordWrap/>
              <w:overflowPunct w:val="0"/>
              <w:topLinePunct w:val="0"/>
              <w:bidi w:val="0"/>
              <w:jc w:val="both"/>
              <w:rPr>
                <w:rFonts w:hint="eastAsia"/>
              </w:rPr>
            </w:pPr>
          </w:p>
        </w:tc>
      </w:tr>
    </w:tbl>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8" w:firstLineChars="200"/>
        <w:jc w:val="both"/>
        <w:textAlignment w:val="baseline"/>
        <w:outlineLvl w:val="1"/>
        <w:rPr>
          <w:rFonts w:ascii="楷体" w:hAnsi="楷体" w:eastAsia="楷体" w:cs="楷体"/>
          <w:sz w:val="31"/>
          <w:szCs w:val="31"/>
        </w:rPr>
      </w:pPr>
      <w:bookmarkStart w:id="53" w:name="_Toc3869"/>
      <w:r>
        <w:rPr>
          <w:rFonts w:ascii="楷体" w:hAnsi="楷体" w:eastAsia="楷体" w:cs="楷体"/>
          <w:spacing w:val="7"/>
          <w:sz w:val="31"/>
          <w:szCs w:val="31"/>
        </w:rPr>
        <w:t>（四）实施农村一二三产融合发展</w:t>
      </w:r>
      <w:bookmarkEnd w:id="53"/>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2" w:firstLineChars="200"/>
        <w:jc w:val="both"/>
        <w:textAlignment w:val="baseline"/>
      </w:pPr>
      <w:r>
        <w:rPr>
          <w:rFonts w:ascii="仿宋" w:hAnsi="仿宋" w:eastAsia="仿宋" w:cs="仿宋"/>
          <w:spacing w:val="8"/>
          <w:sz w:val="31"/>
          <w:szCs w:val="31"/>
        </w:rPr>
        <w:t>强化农业全产业链开发，协同推进农产品生产与加工业发</w:t>
      </w:r>
      <w:r>
        <w:rPr>
          <w:rFonts w:ascii="仿宋" w:hAnsi="仿宋" w:eastAsia="仿宋" w:cs="仿宋"/>
          <w:spacing w:val="4"/>
          <w:sz w:val="31"/>
          <w:szCs w:val="31"/>
        </w:rPr>
        <w:t>展，加快促进农业与服务业深度融合，积极发展农业新型业态，</w:t>
      </w:r>
      <w:r>
        <w:rPr>
          <w:rFonts w:ascii="仿宋" w:hAnsi="仿宋" w:eastAsia="仿宋" w:cs="仿宋"/>
          <w:spacing w:val="9"/>
          <w:sz w:val="31"/>
          <w:szCs w:val="31"/>
        </w:rPr>
        <w:t>建设一批农村一二三产业融合示范区和农业产业化示范基地。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sz w:val="31"/>
          <w:szCs w:val="31"/>
        </w:rPr>
      </w:pPr>
      <w:r>
        <w:rPr>
          <w:rFonts w:ascii="仿宋" w:hAnsi="仿宋" w:eastAsia="仿宋" w:cs="仿宋"/>
          <w:spacing w:val="2"/>
          <w:sz w:val="31"/>
          <w:szCs w:val="31"/>
        </w:rPr>
        <w:t>到2025年，全市农产品加工业产值突破10亿元，乡村旅游和</w:t>
      </w:r>
      <w:r>
        <w:rPr>
          <w:rFonts w:ascii="仿宋" w:hAnsi="仿宋" w:eastAsia="仿宋" w:cs="仿宋"/>
          <w:spacing w:val="7"/>
          <w:sz w:val="31"/>
          <w:szCs w:val="31"/>
        </w:rPr>
        <w:t>休闲农业收入达到0.3亿元，创建省级现代农业产</w:t>
      </w:r>
      <w:r>
        <w:rPr>
          <w:rFonts w:ascii="仿宋" w:hAnsi="仿宋" w:eastAsia="仿宋" w:cs="仿宋"/>
          <w:spacing w:val="6"/>
          <w:sz w:val="31"/>
          <w:szCs w:val="31"/>
        </w:rPr>
        <w:t>业园达到3</w:t>
      </w:r>
      <w:r>
        <w:rPr>
          <w:rFonts w:ascii="仿宋" w:hAnsi="仿宋" w:eastAsia="仿宋" w:cs="仿宋"/>
          <w:spacing w:val="8"/>
          <w:sz w:val="31"/>
          <w:szCs w:val="31"/>
        </w:rPr>
        <w:t>个，市级现代农业产业园达到6个，市级以上农业产业化龙头</w:t>
      </w:r>
      <w:r>
        <w:rPr>
          <w:rFonts w:ascii="仿宋" w:hAnsi="仿宋" w:eastAsia="仿宋" w:cs="仿宋"/>
          <w:spacing w:val="1"/>
          <w:sz w:val="31"/>
          <w:szCs w:val="31"/>
        </w:rPr>
        <w:t>企业达到</w:t>
      </w:r>
      <w:r>
        <w:rPr>
          <w:rFonts w:hint="eastAsia" w:ascii="仿宋" w:hAnsi="仿宋" w:eastAsia="仿宋" w:cs="仿宋"/>
          <w:spacing w:val="1"/>
          <w:sz w:val="31"/>
          <w:szCs w:val="31"/>
          <w:lang w:val="en-US" w:eastAsia="zh-CN"/>
        </w:rPr>
        <w:t>52</w:t>
      </w:r>
      <w:r>
        <w:rPr>
          <w:rFonts w:ascii="仿宋" w:hAnsi="仿宋" w:eastAsia="仿宋" w:cs="仿宋"/>
          <w:spacing w:val="1"/>
          <w:sz w:val="31"/>
          <w:szCs w:val="31"/>
        </w:rPr>
        <w:t>个。</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4" w:firstLineChars="200"/>
        <w:jc w:val="both"/>
        <w:textAlignment w:val="baseline"/>
        <w:outlineLvl w:val="2"/>
        <w:rPr>
          <w:rFonts w:ascii="仿宋" w:hAnsi="仿宋" w:eastAsia="仿宋" w:cs="仿宋"/>
          <w:sz w:val="31"/>
          <w:szCs w:val="31"/>
        </w:rPr>
      </w:pPr>
      <w:bookmarkStart w:id="54" w:name="_Toc27381"/>
      <w:r>
        <w:rPr>
          <w:rFonts w:ascii="仿宋" w:hAnsi="仿宋" w:eastAsia="仿宋" w:cs="仿宋"/>
          <w:b/>
          <w:bCs/>
          <w:spacing w:val="3"/>
          <w:sz w:val="31"/>
          <w:szCs w:val="31"/>
        </w:rPr>
        <w:t>1.做强农副产品加工业</w:t>
      </w:r>
      <w:bookmarkEnd w:id="54"/>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8" w:firstLineChars="200"/>
        <w:jc w:val="both"/>
        <w:textAlignment w:val="baseline"/>
        <w:rPr>
          <w:rFonts w:ascii="仿宋" w:hAnsi="仿宋" w:eastAsia="仿宋" w:cs="仿宋"/>
          <w:sz w:val="31"/>
          <w:szCs w:val="31"/>
        </w:rPr>
      </w:pPr>
      <w:r>
        <w:rPr>
          <w:rFonts w:ascii="仿宋" w:hAnsi="仿宋" w:eastAsia="仿宋" w:cs="仿宋"/>
          <w:spacing w:val="12"/>
          <w:sz w:val="31"/>
          <w:szCs w:val="31"/>
        </w:rPr>
        <w:t>发挥食品加工业“接二连三”“粮头食尾”“农头工尾”</w:t>
      </w:r>
      <w:r>
        <w:rPr>
          <w:rFonts w:ascii="仿宋" w:hAnsi="仿宋" w:eastAsia="仿宋" w:cs="仿宋"/>
          <w:spacing w:val="9"/>
          <w:sz w:val="31"/>
          <w:szCs w:val="31"/>
        </w:rPr>
        <w:t>作用，推进农业与工业深度融合。以绿色、健康、安全为发展</w:t>
      </w:r>
      <w:r>
        <w:rPr>
          <w:rFonts w:ascii="仿宋" w:hAnsi="仿宋" w:eastAsia="仿宋" w:cs="仿宋"/>
          <w:spacing w:val="13"/>
          <w:sz w:val="31"/>
          <w:szCs w:val="31"/>
        </w:rPr>
        <w:t>方向，延伸拓展产业链条，加快农副产品加工业向绿色食品工</w:t>
      </w:r>
      <w:r>
        <w:rPr>
          <w:rFonts w:ascii="仿宋" w:hAnsi="仿宋" w:eastAsia="仿宋" w:cs="仿宋"/>
          <w:spacing w:val="7"/>
          <w:sz w:val="31"/>
          <w:szCs w:val="31"/>
        </w:rPr>
        <w:t>业转型，由生产主导型向消费需求型转变，由粗加工为主向精</w:t>
      </w:r>
      <w:r>
        <w:rPr>
          <w:rFonts w:ascii="仿宋" w:hAnsi="仿宋" w:eastAsia="仿宋" w:cs="仿宋"/>
          <w:spacing w:val="14"/>
          <w:sz w:val="31"/>
          <w:szCs w:val="31"/>
        </w:rPr>
        <w:t>深加工转变，重点发展玉米、水稻、花生及杂粮杂豆、饲料、</w:t>
      </w:r>
      <w:r>
        <w:rPr>
          <w:rFonts w:ascii="仿宋" w:hAnsi="仿宋" w:eastAsia="仿宋" w:cs="仿宋"/>
          <w:spacing w:val="13"/>
          <w:sz w:val="31"/>
          <w:szCs w:val="31"/>
        </w:rPr>
        <w:t>畜禽、酒业等六大加工产业链，形成具有双辽特色的农产品加工产业体系。发展以鲜食玉米、玉米食品和饲料玉米等为主的玉米加工业；发展免淘米、营养强化米、弱碱有机米等精米加工业；发展花生深加工；发展荞麦片、红豆沙、绿豆沙、黑豆油等系列保健食品等营养健康、药食同源的功能性产品为主的加工业；加快推进畜禽加工产业基地建设，根据养殖规模配套建设屠宰加工厂，不断延伸产业链条，发展具有特色、方便食</w:t>
      </w:r>
      <w:r>
        <w:rPr>
          <w:rFonts w:ascii="仿宋" w:hAnsi="仿宋" w:eastAsia="仿宋" w:cs="仿宋"/>
          <w:spacing w:val="7"/>
          <w:sz w:val="31"/>
          <w:szCs w:val="31"/>
        </w:rPr>
        <w:t>用的畜禽精深加工食品。以吉林省郑家屯酒业有限公司为龙头，</w:t>
      </w:r>
      <w:r>
        <w:rPr>
          <w:rFonts w:ascii="仿宋" w:hAnsi="仿宋" w:eastAsia="仿宋" w:cs="仿宋"/>
          <w:spacing w:val="8"/>
          <w:sz w:val="31"/>
          <w:szCs w:val="31"/>
        </w:rPr>
        <w:t>建设有双辽特色的白酒产业体系。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2" w:firstLineChars="200"/>
        <w:jc w:val="both"/>
        <w:textAlignment w:val="baseline"/>
        <w:outlineLvl w:val="2"/>
        <w:rPr>
          <w:rFonts w:ascii="仿宋" w:hAnsi="仿宋" w:eastAsia="仿宋" w:cs="仿宋"/>
          <w:sz w:val="31"/>
          <w:szCs w:val="31"/>
        </w:rPr>
      </w:pPr>
      <w:bookmarkStart w:id="55" w:name="_Toc3575"/>
      <w:r>
        <w:rPr>
          <w:rFonts w:ascii="仿宋" w:hAnsi="仿宋" w:eastAsia="仿宋" w:cs="仿宋"/>
          <w:b/>
          <w:bCs/>
          <w:spacing w:val="5"/>
          <w:sz w:val="31"/>
          <w:szCs w:val="31"/>
        </w:rPr>
        <w:t>2.促进农业与服务业融合</w:t>
      </w:r>
      <w:bookmarkEnd w:id="55"/>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2" w:firstLineChars="200"/>
        <w:jc w:val="both"/>
        <w:textAlignment w:val="baseline"/>
        <w:rPr>
          <w:rFonts w:ascii="仿宋" w:hAnsi="仿宋" w:eastAsia="仿宋" w:cs="仿宋"/>
          <w:sz w:val="31"/>
          <w:szCs w:val="31"/>
        </w:rPr>
      </w:pPr>
      <w:r>
        <w:rPr>
          <w:rFonts w:ascii="仿宋" w:hAnsi="仿宋" w:eastAsia="仿宋" w:cs="仿宋"/>
          <w:spacing w:val="3"/>
          <w:sz w:val="31"/>
          <w:szCs w:val="31"/>
        </w:rPr>
        <w:t>强化农业服务业的保障功能，围绕农业产前、产中、产后，</w:t>
      </w:r>
      <w:r>
        <w:rPr>
          <w:rFonts w:ascii="仿宋" w:hAnsi="仿宋" w:eastAsia="仿宋" w:cs="仿宋"/>
          <w:spacing w:val="13"/>
          <w:sz w:val="31"/>
          <w:szCs w:val="31"/>
        </w:rPr>
        <w:t>发展现代农业服务业。推进农业生产合作、供销合作</w:t>
      </w:r>
      <w:r>
        <w:rPr>
          <w:rFonts w:ascii="仿宋" w:hAnsi="仿宋" w:eastAsia="仿宋" w:cs="仿宋"/>
          <w:spacing w:val="12"/>
          <w:sz w:val="31"/>
          <w:szCs w:val="31"/>
        </w:rPr>
        <w:t>、信用合</w:t>
      </w:r>
      <w:r>
        <w:rPr>
          <w:rFonts w:ascii="仿宋" w:hAnsi="仿宋" w:eastAsia="仿宋" w:cs="仿宋"/>
          <w:spacing w:val="7"/>
          <w:sz w:val="31"/>
          <w:szCs w:val="31"/>
        </w:rPr>
        <w:t>作“三位一体”的农民合作与联合服务，培育专业性社会化服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8" w:firstLineChars="200"/>
        <w:jc w:val="both"/>
        <w:textAlignment w:val="baseline"/>
        <w:rPr>
          <w:rFonts w:ascii="仿宋" w:hAnsi="仿宋" w:eastAsia="仿宋" w:cs="仿宋"/>
          <w:snapToGrid w:val="0"/>
          <w:color w:val="000000"/>
          <w:spacing w:val="7"/>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务组织。不断创新合作模式，采取合作式、订单式、托管式等模式，开展农资供应、农机作业、病虫害统防统治、农业生产防灾减灾、粮食烘干、动物诊疗、产品营销和金融保险等服务。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支持发展农产品仓储业、物流业和商贸业，建设食品、农业物资展示交易中心，大力发展网红经济，建设电商产业园和村级</w:t>
      </w:r>
      <w:r>
        <w:rPr>
          <w:rFonts w:ascii="仿宋" w:hAnsi="仿宋" w:eastAsia="仿宋" w:cs="仿宋"/>
          <w:spacing w:val="11"/>
          <w:sz w:val="31"/>
          <w:szCs w:val="31"/>
        </w:rPr>
        <w:t>电子商务服务站。做强做大“东北牲畜集散交易中心”，带动</w:t>
      </w:r>
      <w:r>
        <w:rPr>
          <w:rFonts w:ascii="仿宋" w:hAnsi="仿宋" w:eastAsia="仿宋" w:cs="仿宋"/>
          <w:spacing w:val="13"/>
          <w:sz w:val="31"/>
          <w:szCs w:val="31"/>
        </w:rPr>
        <w:t>玻璃山镇及周边地区的餐饮、服务、修理、饲料等行业快速发展，实现市场促进经济发展，带动农民增收，促进农业与服务</w:t>
      </w:r>
      <w:r>
        <w:rPr>
          <w:rFonts w:ascii="仿宋" w:hAnsi="仿宋" w:eastAsia="仿宋" w:cs="仿宋"/>
          <w:spacing w:val="6"/>
          <w:sz w:val="31"/>
          <w:szCs w:val="31"/>
        </w:rPr>
        <w:t>业深度融合。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2" w:firstLineChars="200"/>
        <w:jc w:val="both"/>
        <w:textAlignment w:val="baseline"/>
        <w:outlineLvl w:val="2"/>
        <w:rPr>
          <w:rFonts w:ascii="仿宋" w:hAnsi="仿宋" w:eastAsia="仿宋" w:cs="仿宋"/>
          <w:sz w:val="31"/>
          <w:szCs w:val="31"/>
        </w:rPr>
      </w:pPr>
      <w:bookmarkStart w:id="56" w:name="_Toc18625"/>
      <w:r>
        <w:rPr>
          <w:rFonts w:ascii="仿宋" w:hAnsi="仿宋" w:eastAsia="仿宋" w:cs="仿宋"/>
          <w:b/>
          <w:bCs/>
          <w:spacing w:val="5"/>
          <w:sz w:val="31"/>
          <w:szCs w:val="31"/>
        </w:rPr>
        <w:t>3.推进休闲农业和乡村旅游融合</w:t>
      </w:r>
      <w:bookmarkEnd w:id="56"/>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6" w:firstLineChars="200"/>
        <w:jc w:val="both"/>
        <w:textAlignment w:val="baseline"/>
        <w:rPr>
          <w:rFonts w:ascii="仿宋" w:hAnsi="仿宋" w:eastAsia="仿宋" w:cs="仿宋"/>
          <w:sz w:val="31"/>
          <w:szCs w:val="31"/>
        </w:rPr>
      </w:pPr>
      <w:r>
        <w:rPr>
          <w:rFonts w:ascii="仿宋" w:hAnsi="仿宋" w:eastAsia="仿宋" w:cs="仿宋"/>
          <w:spacing w:val="9"/>
          <w:sz w:val="31"/>
          <w:szCs w:val="31"/>
        </w:rPr>
        <w:t>推进乡村特色产品、生态景观、历史文化等价值和功能融合，创建农业与旅游、畜牧养殖与旅游、渔业产业与旅游等融</w:t>
      </w:r>
      <w:r>
        <w:rPr>
          <w:rFonts w:ascii="仿宋" w:hAnsi="仿宋" w:eastAsia="仿宋" w:cs="仿宋"/>
          <w:spacing w:val="7"/>
          <w:sz w:val="31"/>
          <w:szCs w:val="31"/>
        </w:rPr>
        <w:t>合发展新模式。丰富特色产品和文旅产业内涵，形成地方乡村</w:t>
      </w:r>
      <w:r>
        <w:rPr>
          <w:rFonts w:ascii="仿宋" w:hAnsi="仿宋" w:eastAsia="仿宋" w:cs="仿宋"/>
          <w:spacing w:val="8"/>
          <w:sz w:val="31"/>
          <w:szCs w:val="31"/>
        </w:rPr>
        <w:t>产业发展新的亮点和消费热点。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8" w:firstLineChars="200"/>
        <w:jc w:val="both"/>
        <w:textAlignment w:val="baseline"/>
        <w:rPr>
          <w:rFonts w:ascii="仿宋" w:hAnsi="仿宋" w:eastAsia="仿宋" w:cs="仿宋"/>
          <w:sz w:val="31"/>
          <w:szCs w:val="31"/>
        </w:rPr>
      </w:pPr>
      <w:r>
        <w:rPr>
          <w:rFonts w:ascii="仿宋" w:hAnsi="仿宋" w:eastAsia="仿宋" w:cs="仿宋"/>
          <w:spacing w:val="12"/>
          <w:sz w:val="31"/>
          <w:szCs w:val="31"/>
        </w:rPr>
        <w:t>立足特色农业基础，融合乡村山地、草原、水域等自然景</w:t>
      </w:r>
      <w:r>
        <w:rPr>
          <w:rFonts w:ascii="仿宋" w:hAnsi="仿宋" w:eastAsia="仿宋" w:cs="仿宋"/>
          <w:spacing w:val="13"/>
          <w:sz w:val="31"/>
          <w:szCs w:val="31"/>
        </w:rPr>
        <w:t>观资源，发展休闲观光、度假娱乐等产业。利用光伏大棚种植和光伏养殖等光伏农业，推进观光农业发展，重点建设观光农业示范园和生态农业科普教育基地。依托茂林草原雁基地、双山鸭场，打造集养殖、休闲、餐饮为一体的产业链集合体。依托八一湖旅游风景区渔业特色村，建成集鲜鱼养殖、娱乐休闲为一体的休闲胜地。依托新立乡稻田历史发展优势，建设集稻</w:t>
      </w:r>
      <w:r>
        <w:rPr>
          <w:rFonts w:ascii="仿宋" w:hAnsi="仿宋" w:eastAsia="仿宋" w:cs="仿宋"/>
          <w:spacing w:val="9"/>
          <w:sz w:val="31"/>
          <w:szCs w:val="31"/>
        </w:rPr>
        <w:t>田观光、稻田鱼蟹美食和休闲娱乐为一体的休闲旅游观光带。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firstLineChars="200"/>
        <w:jc w:val="both"/>
        <w:textAlignment w:val="baseline"/>
        <w:rPr>
          <w:rFonts w:ascii="仿宋" w:hAnsi="仿宋" w:eastAsia="仿宋" w:cs="仿宋"/>
          <w:sz w:val="31"/>
          <w:szCs w:val="31"/>
        </w:rPr>
      </w:pPr>
      <w:r>
        <w:rPr>
          <w:rFonts w:ascii="仿宋" w:hAnsi="仿宋" w:eastAsia="仿宋" w:cs="仿宋"/>
          <w:spacing w:val="10"/>
          <w:sz w:val="31"/>
          <w:szCs w:val="31"/>
        </w:rPr>
        <w:t>充分利用农村闲置宅基地、闲置农房等资源，结合乡村旅</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z w:val="31"/>
          <w:szCs w:val="31"/>
        </w:rPr>
        <w:sectPr>
          <w:footerReference r:id="rId15" w:type="default"/>
          <w:pgSz w:w="11906" w:h="16839"/>
          <w:pgMar w:top="1417" w:right="1587" w:bottom="1417" w:left="1587" w:header="0" w:footer="109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ascii="仿宋" w:hAnsi="仿宋" w:eastAsia="仿宋" w:cs="仿宋"/>
          <w:sz w:val="31"/>
          <w:szCs w:val="31"/>
        </w:rPr>
      </w:pPr>
      <w:r>
        <w:rPr>
          <w:rFonts w:ascii="仿宋" w:hAnsi="仿宋" w:eastAsia="仿宋" w:cs="仿宋"/>
          <w:spacing w:val="12"/>
          <w:sz w:val="31"/>
          <w:szCs w:val="31"/>
        </w:rPr>
        <w:t>游产业发展，开发建设乡村民宿，丰富乡村旅游服务业态。推</w:t>
      </w:r>
      <w:r>
        <w:rPr>
          <w:rFonts w:ascii="仿宋" w:hAnsi="仿宋" w:eastAsia="仿宋" w:cs="仿宋"/>
          <w:spacing w:val="13"/>
          <w:sz w:val="31"/>
          <w:szCs w:val="31"/>
        </w:rPr>
        <w:t>进休闲农业与乡村旅游融合发展，按照一镇一主业、一村一特色的发展思路，打造特色小镇、休闲农业示范点，重点创建百</w:t>
      </w:r>
      <w:r>
        <w:rPr>
          <w:rFonts w:ascii="仿宋" w:hAnsi="仿宋" w:eastAsia="仿宋" w:cs="仿宋"/>
          <w:spacing w:val="11"/>
          <w:sz w:val="31"/>
          <w:szCs w:val="31"/>
        </w:rPr>
        <w:t>禄“乐活小镇”</w:t>
      </w:r>
      <w:r>
        <w:rPr>
          <w:rFonts w:hint="eastAsia" w:ascii="仿宋" w:hAnsi="仿宋" w:eastAsia="仿宋" w:cs="仿宋"/>
          <w:spacing w:val="11"/>
          <w:sz w:val="31"/>
          <w:szCs w:val="31"/>
          <w:lang w:eastAsia="zh-CN"/>
        </w:rPr>
        <w:t>、宝山“乐野</w:t>
      </w:r>
      <w:r>
        <w:rPr>
          <w:rFonts w:ascii="仿宋" w:hAnsi="仿宋" w:eastAsia="仿宋" w:cs="仿宋"/>
          <w:spacing w:val="11"/>
          <w:sz w:val="31"/>
          <w:szCs w:val="31"/>
        </w:rPr>
        <w:t>小镇</w:t>
      </w:r>
      <w:r>
        <w:rPr>
          <w:rFonts w:hint="eastAsia" w:ascii="仿宋" w:hAnsi="仿宋" w:eastAsia="仿宋" w:cs="仿宋"/>
          <w:spacing w:val="11"/>
          <w:sz w:val="31"/>
          <w:szCs w:val="31"/>
          <w:lang w:eastAsia="zh-CN"/>
        </w:rPr>
        <w:t>”、秀水“乐稻</w:t>
      </w:r>
      <w:r>
        <w:rPr>
          <w:rFonts w:ascii="仿宋" w:hAnsi="仿宋" w:eastAsia="仿宋" w:cs="仿宋"/>
          <w:spacing w:val="11"/>
          <w:sz w:val="31"/>
          <w:szCs w:val="31"/>
        </w:rPr>
        <w:t>小镇</w:t>
      </w:r>
      <w:r>
        <w:rPr>
          <w:rFonts w:hint="eastAsia" w:ascii="仿宋" w:hAnsi="仿宋" w:eastAsia="仿宋" w:cs="仿宋"/>
          <w:spacing w:val="11"/>
          <w:sz w:val="31"/>
          <w:szCs w:val="31"/>
          <w:lang w:eastAsia="zh-CN"/>
        </w:rPr>
        <w:t>”</w:t>
      </w:r>
      <w:r>
        <w:rPr>
          <w:rFonts w:ascii="仿宋" w:hAnsi="仿宋" w:eastAsia="仿宋" w:cs="仿宋"/>
          <w:spacing w:val="11"/>
          <w:sz w:val="31"/>
          <w:szCs w:val="31"/>
        </w:rPr>
        <w:t>等休闲观光农业示范点；协力农家村、</w:t>
      </w:r>
      <w:r>
        <w:rPr>
          <w:rFonts w:hint="eastAsia" w:ascii="仿宋" w:hAnsi="仿宋" w:eastAsia="仿宋" w:cs="仿宋"/>
          <w:spacing w:val="10"/>
          <w:sz w:val="31"/>
          <w:szCs w:val="31"/>
          <w:lang w:eastAsia="zh-CN"/>
        </w:rPr>
        <w:t>巨兴</w:t>
      </w:r>
      <w:r>
        <w:rPr>
          <w:rFonts w:ascii="仿宋" w:hAnsi="仿宋" w:eastAsia="仿宋" w:cs="仿宋"/>
          <w:spacing w:val="13"/>
          <w:sz w:val="31"/>
          <w:szCs w:val="31"/>
        </w:rPr>
        <w:t>村</w:t>
      </w:r>
      <w:r>
        <w:rPr>
          <w:rFonts w:hint="eastAsia" w:ascii="仿宋" w:hAnsi="仿宋" w:eastAsia="仿宋" w:cs="仿宋"/>
          <w:spacing w:val="10"/>
          <w:sz w:val="31"/>
          <w:szCs w:val="31"/>
          <w:lang w:eastAsia="zh-CN"/>
        </w:rPr>
        <w:t>笨面</w:t>
      </w:r>
      <w:r>
        <w:rPr>
          <w:rFonts w:ascii="仿宋" w:hAnsi="仿宋" w:eastAsia="仿宋" w:cs="仿宋"/>
          <w:spacing w:val="13"/>
          <w:sz w:val="31"/>
          <w:szCs w:val="31"/>
        </w:rPr>
        <w:t>、乐利绿豆村</w:t>
      </w:r>
      <w:r>
        <w:rPr>
          <w:rFonts w:hint="eastAsia" w:ascii="仿宋" w:hAnsi="仿宋" w:eastAsia="仿宋" w:cs="仿宋"/>
          <w:spacing w:val="13"/>
          <w:sz w:val="31"/>
          <w:szCs w:val="31"/>
          <w:lang w:eastAsia="zh-CN"/>
        </w:rPr>
        <w:t>、</w:t>
      </w:r>
      <w:r>
        <w:rPr>
          <w:rFonts w:ascii="仿宋" w:hAnsi="仿宋" w:eastAsia="仿宋" w:cs="仿宋"/>
          <w:spacing w:val="13"/>
          <w:sz w:val="31"/>
          <w:szCs w:val="31"/>
        </w:rPr>
        <w:t>五一瓜果村、孟益地瓜村、丰巨葡萄村等</w:t>
      </w:r>
      <w:r>
        <w:rPr>
          <w:rFonts w:ascii="仿宋" w:hAnsi="仿宋" w:eastAsia="仿宋" w:cs="仿宋"/>
          <w:spacing w:val="9"/>
          <w:sz w:val="31"/>
          <w:szCs w:val="31"/>
        </w:rPr>
        <w:t>精品特色农业村，培育若干个水果休闲庄园和特色精品民宿。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hint="eastAsia" w:cs="仿宋"/>
          <w:b/>
          <w:sz w:val="24"/>
          <w:szCs w:val="2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80" w:firstLineChars="200"/>
        <w:jc w:val="center"/>
        <w:textAlignment w:val="baseline"/>
        <w:outlineLvl w:val="1"/>
        <w:rPr>
          <w:rFonts w:cs="仿宋"/>
          <w:b/>
          <w:sz w:val="24"/>
          <w:szCs w:val="24"/>
        </w:rPr>
      </w:pPr>
      <w:bookmarkStart w:id="57" w:name="_Toc5798"/>
      <w:r>
        <w:rPr>
          <w:rFonts w:hint="eastAsia" w:cs="仿宋"/>
          <w:b/>
          <w:sz w:val="24"/>
          <w:szCs w:val="24"/>
          <w:lang w:eastAsia="zh-CN"/>
        </w:rPr>
        <w:t>专</w:t>
      </w:r>
      <w:r>
        <w:rPr>
          <w:rFonts w:hint="eastAsia" w:cs="仿宋"/>
          <w:b/>
          <w:sz w:val="24"/>
          <w:szCs w:val="24"/>
        </w:rPr>
        <w:t>栏4</w:t>
      </w:r>
      <w:r>
        <w:rPr>
          <w:rFonts w:hint="eastAsia" w:eastAsia="宋体" w:cs="仿宋"/>
          <w:b/>
          <w:sz w:val="24"/>
          <w:szCs w:val="24"/>
          <w:lang w:val="en-US" w:eastAsia="zh-CN"/>
        </w:rPr>
        <w:t xml:space="preserve"> </w:t>
      </w:r>
      <w:r>
        <w:rPr>
          <w:rFonts w:hint="eastAsia" w:cs="仿宋"/>
          <w:b/>
          <w:sz w:val="24"/>
          <w:szCs w:val="24"/>
        </w:rPr>
        <w:t>农村三产融合重点项目</w:t>
      </w:r>
      <w:bookmarkEnd w:id="57"/>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jc w:val="center"/>
        </w:trPr>
        <w:tc>
          <w:tcPr>
            <w:tcW w:w="9241" w:type="dxa"/>
            <w:noWrap w:val="0"/>
            <w:vAlign w:val="top"/>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80" w:firstLineChars="200"/>
              <w:jc w:val="both"/>
              <w:textAlignment w:val="baseline"/>
              <w:rPr>
                <w:rFonts w:hint="eastAsia" w:cs="仿宋"/>
                <w:b/>
                <w:bCs/>
                <w:sz w:val="24"/>
                <w:szCs w:val="24"/>
                <w:lang w:eastAsia="zh-CN"/>
              </w:rPr>
            </w:pPr>
            <w:r>
              <w:rPr>
                <w:rFonts w:hint="eastAsia" w:cs="仿宋"/>
                <w:b/>
                <w:bCs/>
                <w:sz w:val="24"/>
                <w:szCs w:val="24"/>
                <w:lang w:val="en-US" w:eastAsia="zh-CN"/>
              </w:rPr>
              <w:t>1.</w:t>
            </w:r>
            <w:r>
              <w:rPr>
                <w:rFonts w:hint="eastAsia" w:cs="仿宋"/>
                <w:b/>
                <w:bCs/>
                <w:sz w:val="24"/>
                <w:szCs w:val="24"/>
                <w:lang w:eastAsia="zh-CN"/>
              </w:rPr>
              <w:t>双辽市润佳种牛繁育基地项目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80" w:firstLineChars="200"/>
              <w:jc w:val="both"/>
              <w:textAlignment w:val="baseline"/>
              <w:rPr>
                <w:rFonts w:hint="eastAsia"/>
                <w:sz w:val="24"/>
                <w:szCs w:val="24"/>
              </w:rPr>
            </w:pPr>
            <w:r>
              <w:rPr>
                <w:rFonts w:hint="eastAsia"/>
                <w:sz w:val="24"/>
                <w:szCs w:val="24"/>
                <w:lang w:eastAsia="zh-CN"/>
              </w:rPr>
              <w:t>投资1000万元，建设国内核心场，购进种用公牛——华西牛的饲养与培育。完成种公牛引进和生产冷冻精液与推广销售。提高秸秆转化率。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80" w:firstLineChars="200"/>
              <w:jc w:val="both"/>
              <w:textAlignment w:val="baseline"/>
              <w:rPr>
                <w:rFonts w:hint="eastAsia" w:cs="仿宋"/>
                <w:b/>
                <w:bCs/>
                <w:sz w:val="24"/>
                <w:szCs w:val="24"/>
                <w:lang w:val="en-US" w:eastAsia="zh-CN"/>
              </w:rPr>
            </w:pPr>
            <w:r>
              <w:rPr>
                <w:rFonts w:hint="eastAsia" w:cs="仿宋"/>
                <w:b/>
                <w:bCs/>
                <w:sz w:val="24"/>
                <w:szCs w:val="24"/>
                <w:lang w:val="en-US" w:eastAsia="zh-CN"/>
              </w:rPr>
              <w:t>2.双辽市农垦双山鸭场食品厂建设项目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80" w:firstLineChars="200"/>
              <w:jc w:val="both"/>
              <w:textAlignment w:val="baseline"/>
              <w:rPr>
                <w:rFonts w:hint="default" w:ascii="Arial" w:hAnsi="Arial" w:eastAsia="Arial" w:cs="Arial"/>
                <w:snapToGrid w:val="0"/>
                <w:color w:val="000000"/>
                <w:kern w:val="0"/>
                <w:sz w:val="24"/>
                <w:szCs w:val="24"/>
                <w:lang w:val="en-US" w:eastAsia="zh-CN" w:bidi="ar-SA"/>
              </w:rPr>
            </w:pPr>
            <w:r>
              <w:rPr>
                <w:rFonts w:hint="eastAsia" w:cs="仿宋"/>
                <w:b w:val="0"/>
                <w:bCs w:val="0"/>
                <w:sz w:val="24"/>
                <w:szCs w:val="24"/>
                <w:lang w:val="en-US" w:eastAsia="zh-CN"/>
              </w:rPr>
              <w:t>投资500万元，占地6000平方米，建筑面积3200平方米。主要生产肥肝及肉食加工，年产3000吨，解决周边60人左右就业。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80" w:firstLineChars="200"/>
              <w:jc w:val="both"/>
              <w:textAlignment w:val="baseline"/>
              <w:rPr>
                <w:rFonts w:hint="eastAsia" w:cs="仿宋"/>
                <w:b/>
                <w:bCs/>
                <w:sz w:val="24"/>
                <w:szCs w:val="24"/>
                <w:lang w:val="en-US" w:eastAsia="zh-CN"/>
              </w:rPr>
            </w:pPr>
            <w:r>
              <w:rPr>
                <w:rFonts w:hint="eastAsia" w:cs="仿宋"/>
                <w:b/>
                <w:bCs/>
                <w:sz w:val="24"/>
                <w:szCs w:val="24"/>
                <w:lang w:eastAsia="zh-CN"/>
              </w:rPr>
              <w:t>3.农旅“三乐”小镇建设项目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80" w:firstLineChars="200"/>
              <w:jc w:val="both"/>
              <w:textAlignment w:val="baseline"/>
              <w:rPr>
                <w:rFonts w:hint="eastAsia"/>
                <w:sz w:val="24"/>
                <w:szCs w:val="24"/>
                <w:lang w:val="en-US" w:eastAsia="zh-CN"/>
              </w:rPr>
            </w:pPr>
            <w:r>
              <w:rPr>
                <w:rFonts w:hint="eastAsia"/>
                <w:sz w:val="24"/>
                <w:szCs w:val="24"/>
                <w:lang w:val="en-US" w:eastAsia="zh-CN"/>
              </w:rPr>
              <w:t>实施乡村振兴战略，是新时代“三农”工作总抓手、顺应亿万农民对美好生活的向往，开发休闲农业和乡村旅游精品线路，完善配套设施，推进农村一二三产业融合发展示范园和科技示范园区建设。投资8500万元，打造精品农旅游乐示范点：宝山乐野小镇、百禄乐活小镇、秀水乐稻小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80" w:firstLineChars="200"/>
              <w:jc w:val="both"/>
              <w:textAlignment w:val="baseline"/>
              <w:rPr>
                <w:rFonts w:hint="eastAsia"/>
                <w:sz w:val="24"/>
                <w:szCs w:val="24"/>
                <w:lang w:val="zh-CN"/>
              </w:rPr>
            </w:pPr>
          </w:p>
        </w:tc>
      </w:tr>
    </w:tbl>
    <w:p>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20" w:firstLineChars="200"/>
        <w:jc w:val="both"/>
        <w:textAlignment w:val="baseline"/>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20" w:firstLineChars="200"/>
        <w:jc w:val="both"/>
        <w:textAlignment w:val="baseline"/>
        <w:sectPr>
          <w:footerReference r:id="rId16" w:type="default"/>
          <w:pgSz w:w="11906" w:h="16839"/>
          <w:pgMar w:top="1417" w:right="1587" w:bottom="1417" w:left="1587" w:header="0" w:footer="109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58" w:name="bookmark31"/>
      <w:bookmarkEnd w:id="58"/>
      <w:bookmarkStart w:id="59" w:name="_Toc13596"/>
      <w:r>
        <w:rPr>
          <w:rFonts w:ascii="楷体" w:hAnsi="楷体" w:eastAsia="楷体" w:cs="楷体"/>
          <w:spacing w:val="0"/>
          <w:sz w:val="32"/>
          <w:szCs w:val="32"/>
        </w:rPr>
        <w:t>（五）加强生态治理和修复</w:t>
      </w:r>
      <w:bookmarkEnd w:id="59"/>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8" w:firstLineChars="200"/>
        <w:jc w:val="both"/>
        <w:textAlignment w:val="baseline"/>
        <w:rPr>
          <w:rFonts w:ascii="仿宋" w:hAnsi="仿宋" w:eastAsia="仿宋" w:cs="仿宋"/>
          <w:sz w:val="31"/>
          <w:szCs w:val="31"/>
        </w:rPr>
      </w:pPr>
      <w:r>
        <w:rPr>
          <w:rFonts w:ascii="仿宋" w:hAnsi="仿宋" w:eastAsia="仿宋" w:cs="仿宋"/>
          <w:spacing w:val="12"/>
          <w:sz w:val="31"/>
          <w:szCs w:val="31"/>
        </w:rPr>
        <w:t>牢固树立绿水青山就是金山银山的理念，构建全域生态安</w:t>
      </w:r>
      <w:r>
        <w:rPr>
          <w:rFonts w:ascii="仿宋" w:hAnsi="仿宋" w:eastAsia="仿宋" w:cs="仿宋"/>
          <w:spacing w:val="13"/>
          <w:sz w:val="31"/>
          <w:szCs w:val="31"/>
        </w:rPr>
        <w:t>全格局，完善黑土地质量保护与提升的长效机制，防治</w:t>
      </w:r>
      <w:r>
        <w:rPr>
          <w:rFonts w:ascii="仿宋" w:hAnsi="仿宋" w:eastAsia="仿宋" w:cs="仿宋"/>
          <w:spacing w:val="12"/>
          <w:sz w:val="31"/>
          <w:szCs w:val="31"/>
        </w:rPr>
        <w:t>农业面</w:t>
      </w:r>
      <w:r>
        <w:rPr>
          <w:rFonts w:ascii="仿宋" w:hAnsi="仿宋" w:eastAsia="仿宋" w:cs="仿宋"/>
          <w:spacing w:val="13"/>
          <w:sz w:val="31"/>
          <w:szCs w:val="31"/>
        </w:rPr>
        <w:t>源污染，打好污染防治攻坚战，努力实现生态环境保护</w:t>
      </w:r>
      <w:r>
        <w:rPr>
          <w:rFonts w:ascii="仿宋" w:hAnsi="仿宋" w:eastAsia="仿宋" w:cs="仿宋"/>
          <w:spacing w:val="12"/>
          <w:sz w:val="31"/>
          <w:szCs w:val="31"/>
        </w:rPr>
        <w:t>和绿色</w:t>
      </w:r>
      <w:r>
        <w:rPr>
          <w:rFonts w:ascii="仿宋" w:hAnsi="仿宋" w:eastAsia="仿宋" w:cs="仿宋"/>
          <w:spacing w:val="-3"/>
          <w:sz w:val="31"/>
          <w:szCs w:val="31"/>
        </w:rPr>
        <w:t>农业协调发展的双赢局面。到2025年，黑土地保护面积达到</w:t>
      </w:r>
      <w:r>
        <w:rPr>
          <w:rFonts w:ascii="仿宋" w:hAnsi="仿宋" w:eastAsia="仿宋" w:cs="仿宋"/>
          <w:spacing w:val="-4"/>
          <w:sz w:val="31"/>
          <w:szCs w:val="31"/>
        </w:rPr>
        <w:t>235</w:t>
      </w:r>
      <w:r>
        <w:rPr>
          <w:rFonts w:ascii="仿宋" w:hAnsi="仿宋" w:eastAsia="仿宋" w:cs="仿宋"/>
          <w:spacing w:val="7"/>
          <w:sz w:val="31"/>
          <w:szCs w:val="31"/>
        </w:rPr>
        <w:t>万亩，示范区黑土地耕地质量平均提高0.5个等级以上。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6" w:firstLineChars="200"/>
        <w:jc w:val="both"/>
        <w:textAlignment w:val="baseline"/>
        <w:outlineLvl w:val="2"/>
        <w:rPr>
          <w:rFonts w:ascii="仿宋" w:hAnsi="仿宋" w:eastAsia="仿宋" w:cs="仿宋"/>
          <w:sz w:val="31"/>
          <w:szCs w:val="31"/>
        </w:rPr>
      </w:pPr>
      <w:bookmarkStart w:id="60" w:name="_Toc30846"/>
      <w:r>
        <w:rPr>
          <w:rFonts w:ascii="仿宋" w:hAnsi="仿宋" w:eastAsia="仿宋" w:cs="仿宋"/>
          <w:b/>
          <w:bCs/>
          <w:spacing w:val="11"/>
          <w:sz w:val="31"/>
          <w:szCs w:val="31"/>
        </w:rPr>
        <w:t>1.推广黑土地保护性耕作“梨树模式”</w:t>
      </w:r>
      <w:bookmarkEnd w:id="60"/>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8" w:firstLineChars="200"/>
        <w:jc w:val="both"/>
        <w:textAlignment w:val="baseline"/>
        <w:rPr>
          <w:rFonts w:ascii="仿宋" w:hAnsi="仿宋" w:eastAsia="仿宋" w:cs="仿宋"/>
          <w:sz w:val="31"/>
          <w:szCs w:val="31"/>
        </w:rPr>
      </w:pPr>
      <w:r>
        <w:rPr>
          <w:rFonts w:ascii="仿宋" w:hAnsi="仿宋" w:eastAsia="仿宋" w:cs="仿宋"/>
          <w:spacing w:val="7"/>
          <w:sz w:val="31"/>
          <w:szCs w:val="31"/>
        </w:rPr>
        <w:t>大力推广“梨树模式”，探索建立适应不同地域</w:t>
      </w:r>
      <w:r>
        <w:rPr>
          <w:rFonts w:ascii="仿宋" w:hAnsi="仿宋" w:eastAsia="仿宋" w:cs="仿宋"/>
          <w:spacing w:val="6"/>
          <w:sz w:val="31"/>
          <w:szCs w:val="31"/>
        </w:rPr>
        <w:t>、不同条</w:t>
      </w:r>
      <w:r>
        <w:rPr>
          <w:rFonts w:ascii="仿宋" w:hAnsi="仿宋" w:eastAsia="仿宋" w:cs="仿宋"/>
          <w:spacing w:val="9"/>
          <w:sz w:val="31"/>
          <w:szCs w:val="31"/>
        </w:rPr>
        <w:t>件的保护性耕作技术。推广玉米秸秆覆盖免耕种植模式、玉米秸秆覆盖条带旋耕种植模式、玉米秸秆覆盖垄作种植模式、玉米秸秆高留茬垄侧栽培模式。开展粪肥堆沤还田，秸秆科学离</w:t>
      </w:r>
      <w:r>
        <w:rPr>
          <w:rFonts w:ascii="仿宋" w:hAnsi="仿宋" w:eastAsia="仿宋" w:cs="仿宋"/>
          <w:spacing w:val="7"/>
          <w:sz w:val="31"/>
          <w:szCs w:val="31"/>
        </w:rPr>
        <w:t>田，形成黑土地保护利用“4+2”新模式，提高土壤</w:t>
      </w:r>
      <w:r>
        <w:rPr>
          <w:rFonts w:ascii="仿宋" w:hAnsi="仿宋" w:eastAsia="仿宋" w:cs="仿宋"/>
          <w:spacing w:val="6"/>
          <w:sz w:val="31"/>
          <w:szCs w:val="31"/>
        </w:rPr>
        <w:t>蓄水保肥能</w:t>
      </w:r>
      <w:r>
        <w:rPr>
          <w:rFonts w:ascii="仿宋" w:hAnsi="仿宋" w:eastAsia="仿宋" w:cs="仿宋"/>
          <w:spacing w:val="5"/>
          <w:sz w:val="31"/>
          <w:szCs w:val="31"/>
        </w:rPr>
        <w:t>力。一定要保护好、利用好黑土地这个“耕地中的大熊猫”，</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4" w:firstLineChars="200"/>
        <w:jc w:val="both"/>
        <w:textAlignment w:val="baseline"/>
        <w:rPr>
          <w:rFonts w:ascii="仿宋" w:hAnsi="仿宋" w:eastAsia="仿宋" w:cs="仿宋"/>
          <w:sz w:val="31"/>
          <w:szCs w:val="31"/>
        </w:rPr>
      </w:pPr>
      <w:r>
        <w:rPr>
          <w:rFonts w:ascii="仿宋" w:hAnsi="仿宋" w:eastAsia="仿宋" w:cs="仿宋"/>
          <w:spacing w:val="6"/>
          <w:sz w:val="31"/>
          <w:szCs w:val="31"/>
        </w:rPr>
        <w:t>实现黑土地永续利用。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2" w:firstLineChars="200"/>
        <w:jc w:val="both"/>
        <w:textAlignment w:val="baseline"/>
        <w:outlineLvl w:val="2"/>
        <w:rPr>
          <w:rFonts w:ascii="仿宋" w:hAnsi="仿宋" w:eastAsia="仿宋" w:cs="仿宋"/>
          <w:sz w:val="31"/>
          <w:szCs w:val="31"/>
        </w:rPr>
      </w:pPr>
      <w:bookmarkStart w:id="61" w:name="_Toc27771"/>
      <w:r>
        <w:rPr>
          <w:rFonts w:ascii="仿宋" w:hAnsi="仿宋" w:eastAsia="仿宋" w:cs="仿宋"/>
          <w:b/>
          <w:bCs/>
          <w:spacing w:val="5"/>
          <w:sz w:val="31"/>
          <w:szCs w:val="31"/>
        </w:rPr>
        <w:t>2.开展农业生态安全行动</w:t>
      </w:r>
      <w:bookmarkEnd w:id="61"/>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优化农业生产布局，推广资源节约型、环境友好型、生态</w:t>
      </w:r>
      <w:r>
        <w:rPr>
          <w:rFonts w:ascii="仿宋" w:hAnsi="仿宋" w:eastAsia="仿宋" w:cs="仿宋"/>
          <w:spacing w:val="11"/>
          <w:sz w:val="31"/>
          <w:szCs w:val="31"/>
        </w:rPr>
        <w:t>保育型农业技术，实现对黑土地“在保护中利用、在利用中保</w:t>
      </w:r>
      <w:r>
        <w:rPr>
          <w:rFonts w:ascii="仿宋" w:hAnsi="仿宋" w:eastAsia="仿宋" w:cs="仿宋"/>
          <w:spacing w:val="13"/>
          <w:sz w:val="31"/>
          <w:szCs w:val="31"/>
        </w:rPr>
        <w:t>护”。加强草原、林业生态资源保护和恢复，加快推进辽河流</w:t>
      </w:r>
      <w:r>
        <w:rPr>
          <w:rFonts w:ascii="仿宋" w:hAnsi="仿宋" w:eastAsia="仿宋" w:cs="仿宋"/>
          <w:spacing w:val="10"/>
          <w:sz w:val="31"/>
          <w:szCs w:val="31"/>
        </w:rPr>
        <w:t>域生态治理。通过平田整地、治理水土侵蚀、改良盐渍沙化土壤，推广保护性耕作，减少水土流失，改善耕地理化性状，增</w:t>
      </w:r>
      <w:r>
        <w:rPr>
          <w:rFonts w:ascii="仿宋" w:hAnsi="仿宋" w:eastAsia="仿宋" w:cs="仿宋"/>
          <w:spacing w:val="13"/>
          <w:sz w:val="31"/>
          <w:szCs w:val="31"/>
        </w:rPr>
        <w:t>强耕地保水保肥能力；强化农业面源污染治理及重金属污染综合治理，开展测土配方施肥、增施有机肥、实施秸秆还田，提高土壤有机质含量，防治耕地污染和退化，确保农药化肥减量</w:t>
      </w:r>
      <w:r>
        <w:rPr>
          <w:rFonts w:ascii="仿宋" w:hAnsi="仿宋" w:eastAsia="仿宋" w:cs="仿宋"/>
          <w:spacing w:val="10"/>
          <w:sz w:val="31"/>
          <w:szCs w:val="31"/>
        </w:rPr>
        <w:t>使用。强化农业有害生物监测与防控，推广农业防治、生物防</w:t>
      </w:r>
      <w:r>
        <w:rPr>
          <w:rFonts w:ascii="仿宋" w:hAnsi="仿宋" w:eastAsia="仿宋" w:cs="仿宋"/>
          <w:spacing w:val="12"/>
          <w:sz w:val="31"/>
          <w:szCs w:val="31"/>
        </w:rPr>
        <w:t>治、物理防治等绿色防控技术，组建专业化防治队伍，加强病</w:t>
      </w:r>
      <w:r>
        <w:rPr>
          <w:rFonts w:ascii="仿宋" w:hAnsi="仿宋" w:eastAsia="仿宋" w:cs="仿宋"/>
          <w:spacing w:val="5"/>
          <w:sz w:val="31"/>
          <w:szCs w:val="31"/>
        </w:rPr>
        <w:t>虫害监测预警预报，减少农药使用量。到2025年，全市耕地质</w:t>
      </w:r>
      <w:r>
        <w:rPr>
          <w:rFonts w:ascii="仿宋" w:hAnsi="仿宋" w:eastAsia="仿宋" w:cs="仿宋"/>
          <w:spacing w:val="6"/>
          <w:sz w:val="31"/>
          <w:szCs w:val="31"/>
        </w:rPr>
        <w:t>量状况得到明显改善。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6" w:firstLineChars="200"/>
        <w:jc w:val="both"/>
        <w:textAlignment w:val="baseline"/>
        <w:outlineLvl w:val="2"/>
        <w:rPr>
          <w:rFonts w:ascii="仿宋" w:hAnsi="仿宋" w:eastAsia="仿宋" w:cs="仿宋"/>
          <w:sz w:val="31"/>
          <w:szCs w:val="31"/>
        </w:rPr>
      </w:pPr>
      <w:bookmarkStart w:id="62" w:name="_Toc18119"/>
      <w:r>
        <w:rPr>
          <w:rFonts w:ascii="仿宋" w:hAnsi="仿宋" w:eastAsia="仿宋" w:cs="仿宋"/>
          <w:b/>
          <w:bCs/>
          <w:spacing w:val="6"/>
          <w:sz w:val="31"/>
          <w:szCs w:val="31"/>
        </w:rPr>
        <w:t>3.实现秸秆和畜禽粪污资源化利用</w:t>
      </w:r>
      <w:bookmarkEnd w:id="62"/>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建立污染源排放清单，强化源头管控。持续加大秸秆禁烧管控力度，实现卫星遥感监测零火点。全域禁止秸秆焚烧，抓好每年秋冬两季秸秆露天禁烧、离田的专项检查活动，推进秸</w:t>
      </w:r>
      <w:r>
        <w:rPr>
          <w:rFonts w:ascii="仿宋" w:hAnsi="仿宋" w:eastAsia="仿宋" w:cs="仿宋"/>
          <w:spacing w:val="4"/>
          <w:sz w:val="31"/>
          <w:szCs w:val="31"/>
        </w:rPr>
        <w:t>秆全量化“5+1”模式，打通秸秆从田间到工厂“最后一公里”，</w:t>
      </w:r>
      <w:r>
        <w:rPr>
          <w:rFonts w:ascii="仿宋" w:hAnsi="仿宋" w:eastAsia="仿宋" w:cs="仿宋"/>
          <w:spacing w:val="13"/>
          <w:sz w:val="31"/>
          <w:szCs w:val="31"/>
        </w:rPr>
        <w:t>从根本上解决秸秆露天焚烧问题。加强畜禽粪污集中收集点建</w:t>
      </w:r>
      <w:r>
        <w:rPr>
          <w:rFonts w:ascii="仿宋" w:hAnsi="仿宋" w:eastAsia="仿宋" w:cs="仿宋"/>
          <w:spacing w:val="17"/>
          <w:sz w:val="31"/>
          <w:szCs w:val="31"/>
        </w:rPr>
        <w:t>设，形成覆盖全市范围的“分散收集、统一</w:t>
      </w:r>
      <w:r>
        <w:rPr>
          <w:rFonts w:ascii="仿宋" w:hAnsi="仿宋" w:eastAsia="仿宋" w:cs="仿宋"/>
          <w:spacing w:val="16"/>
          <w:sz w:val="31"/>
          <w:szCs w:val="31"/>
        </w:rPr>
        <w:t>转运、集中处理”</w:t>
      </w:r>
      <w:r>
        <w:rPr>
          <w:rFonts w:ascii="仿宋" w:hAnsi="仿宋" w:eastAsia="仿宋" w:cs="仿宋"/>
          <w:spacing w:val="13"/>
          <w:sz w:val="31"/>
          <w:szCs w:val="31"/>
        </w:rPr>
        <w:t>的畜禽粪污收集管理运输体系。构建农牧结合的生态循环农业模式，着力推进养殖粪污向农用有机肥转化利用。加快推进以</w:t>
      </w:r>
      <w:r>
        <w:rPr>
          <w:rFonts w:ascii="仿宋" w:hAnsi="仿宋" w:eastAsia="仿宋" w:cs="仿宋"/>
          <w:spacing w:val="5"/>
          <w:sz w:val="31"/>
          <w:szCs w:val="31"/>
        </w:rPr>
        <w:t>秸秆为主的生物质发电项目建设。到2025年，全市秸秆“五化”</w:t>
      </w:r>
      <w:r>
        <w:rPr>
          <w:rFonts w:ascii="仿宋" w:hAnsi="仿宋" w:eastAsia="仿宋" w:cs="仿宋"/>
          <w:spacing w:val="12"/>
          <w:sz w:val="31"/>
          <w:szCs w:val="31"/>
        </w:rPr>
        <w:t>综合利用率达到90%，畜禽粪污资源化利用率达到</w:t>
      </w:r>
      <w:r>
        <w:rPr>
          <w:rFonts w:ascii="仿宋" w:hAnsi="仿宋" w:eastAsia="仿宋" w:cs="仿宋"/>
          <w:spacing w:val="11"/>
          <w:sz w:val="31"/>
          <w:szCs w:val="31"/>
        </w:rPr>
        <w:t>96%，规模化</w:t>
      </w:r>
      <w:r>
        <w:rPr>
          <w:rFonts w:ascii="仿宋" w:hAnsi="仿宋" w:eastAsia="仿宋" w:cs="仿宋"/>
          <w:spacing w:val="8"/>
          <w:sz w:val="31"/>
          <w:szCs w:val="31"/>
        </w:rPr>
        <w:t>养殖场粪污处理设施装备配套率达到100%，畜禽粪污集中收集</w:t>
      </w:r>
      <w:r>
        <w:rPr>
          <w:rFonts w:ascii="仿宋" w:hAnsi="仿宋" w:eastAsia="仿宋" w:cs="仿宋"/>
          <w:spacing w:val="3"/>
          <w:sz w:val="31"/>
          <w:szCs w:val="31"/>
        </w:rPr>
        <w:t>点数量达到200个。</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2" w:firstLineChars="200"/>
        <w:jc w:val="both"/>
        <w:textAlignment w:val="baseline"/>
        <w:outlineLvl w:val="2"/>
        <w:rPr>
          <w:rFonts w:ascii="仿宋" w:hAnsi="仿宋" w:eastAsia="仿宋" w:cs="仿宋"/>
          <w:sz w:val="31"/>
          <w:szCs w:val="31"/>
        </w:rPr>
      </w:pPr>
      <w:bookmarkStart w:id="63" w:name="_Toc778"/>
      <w:r>
        <w:rPr>
          <w:rFonts w:ascii="仿宋" w:hAnsi="仿宋" w:eastAsia="仿宋" w:cs="仿宋"/>
          <w:b/>
          <w:bCs/>
          <w:spacing w:val="5"/>
          <w:sz w:val="31"/>
          <w:szCs w:val="31"/>
        </w:rPr>
        <w:t>4.加强农业废弃物治理</w:t>
      </w:r>
      <w:bookmarkEnd w:id="63"/>
    </w:p>
    <w:p>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6" w:firstLineChars="200"/>
        <w:jc w:val="both"/>
        <w:textAlignment w:val="baseline"/>
        <w:rPr>
          <w:rFonts w:ascii="仿宋" w:hAnsi="仿宋" w:eastAsia="仿宋" w:cs="仿宋"/>
          <w:sz w:val="31"/>
          <w:szCs w:val="31"/>
        </w:rPr>
      </w:pPr>
      <w:r>
        <w:rPr>
          <w:rFonts w:ascii="仿宋" w:hAnsi="仿宋" w:eastAsia="仿宋" w:cs="仿宋"/>
          <w:spacing w:val="9"/>
          <w:sz w:val="31"/>
          <w:szCs w:val="31"/>
        </w:rPr>
        <w:t>全面加强环境整治一体化、日常化、常态化工作，打造良</w:t>
      </w:r>
      <w:r>
        <w:rPr>
          <w:rFonts w:ascii="仿宋" w:hAnsi="仿宋" w:eastAsia="仿宋" w:cs="仿宋"/>
          <w:spacing w:val="13"/>
          <w:sz w:val="31"/>
          <w:szCs w:val="31"/>
        </w:rPr>
        <w:t>好的生态环境，实现水清岸绿村美的景象。</w:t>
      </w:r>
      <w:r>
        <w:rPr>
          <w:rFonts w:ascii="仿宋" w:hAnsi="仿宋" w:eastAsia="仿宋" w:cs="仿宋"/>
          <w:spacing w:val="12"/>
          <w:sz w:val="31"/>
          <w:szCs w:val="31"/>
        </w:rPr>
        <w:t>推进病死畜禽无害</w:t>
      </w:r>
      <w:r>
        <w:rPr>
          <w:rFonts w:ascii="仿宋" w:hAnsi="仿宋" w:eastAsia="仿宋" w:cs="仿宋"/>
          <w:spacing w:val="13"/>
          <w:sz w:val="31"/>
          <w:szCs w:val="31"/>
        </w:rPr>
        <w:t>化处理工作，加强对病死畜禽进行无害化处</w:t>
      </w:r>
      <w:r>
        <w:rPr>
          <w:rFonts w:ascii="仿宋" w:hAnsi="仿宋" w:eastAsia="仿宋" w:cs="仿宋"/>
          <w:spacing w:val="12"/>
          <w:sz w:val="31"/>
          <w:szCs w:val="31"/>
        </w:rPr>
        <w:t>理的宣传工作，增</w:t>
      </w:r>
      <w:r>
        <w:rPr>
          <w:rFonts w:ascii="仿宋" w:hAnsi="仿宋" w:eastAsia="仿宋" w:cs="仿宋"/>
          <w:spacing w:val="13"/>
          <w:sz w:val="31"/>
          <w:szCs w:val="31"/>
        </w:rPr>
        <w:t>强养殖场业主对病死畜禽无害化处理的责任</w:t>
      </w:r>
      <w:r>
        <w:rPr>
          <w:rFonts w:ascii="仿宋" w:hAnsi="仿宋" w:eastAsia="仿宋" w:cs="仿宋"/>
          <w:spacing w:val="12"/>
          <w:sz w:val="31"/>
          <w:szCs w:val="31"/>
        </w:rPr>
        <w:t>意识，规范业主无</w:t>
      </w:r>
      <w:r>
        <w:rPr>
          <w:rFonts w:ascii="仿宋" w:hAnsi="仿宋" w:eastAsia="仿宋" w:cs="仿宋"/>
          <w:spacing w:val="4"/>
          <w:sz w:val="31"/>
          <w:szCs w:val="31"/>
        </w:rPr>
        <w:t>害化处理行为，谋划推进病死畜禽无害化处理中心的扩建工作，规范养殖业保险服务，降低养殖业风险，促进养殖业健康发展。</w:t>
      </w:r>
      <w:r>
        <w:rPr>
          <w:rFonts w:ascii="仿宋" w:hAnsi="仿宋" w:eastAsia="仿宋" w:cs="仿宋"/>
          <w:spacing w:val="13"/>
          <w:sz w:val="31"/>
          <w:szCs w:val="31"/>
        </w:rPr>
        <w:t>对农药等危险化学品包装物，实行分散回收、集中处理，在乡（镇、街）设置农药包装废弃物回收站，在双辽市区设置农药包装废弃物回收转运中心，实现农药包装废弃物回收利用或无</w:t>
      </w:r>
      <w:r>
        <w:rPr>
          <w:rFonts w:ascii="仿宋" w:hAnsi="仿宋" w:eastAsia="仿宋" w:cs="仿宋"/>
          <w:spacing w:val="7"/>
          <w:sz w:val="31"/>
          <w:szCs w:val="31"/>
        </w:rPr>
        <w:t>害化处理。</w:t>
      </w:r>
    </w:p>
    <w:p>
      <w:pPr>
        <w:keepNext w:val="0"/>
        <w:keepLines w:val="0"/>
        <w:pageBreakBefore w:val="0"/>
        <w:widowControl w:val="0"/>
        <w:kinsoku/>
        <w:wordWrap/>
        <w:overflowPunct w:val="0"/>
        <w:topLinePunct w:val="0"/>
        <w:bidi w:val="0"/>
        <w:adjustRightInd w:val="0"/>
        <w:snapToGrid w:val="0"/>
        <w:spacing w:line="360" w:lineRule="auto"/>
        <w:ind w:firstLine="643"/>
        <w:jc w:val="both"/>
        <w:rPr>
          <w:rFonts w:hint="eastAsia" w:cs="仿宋"/>
          <w:b/>
          <w:sz w:val="24"/>
          <w:szCs w:val="24"/>
        </w:rPr>
      </w:pPr>
      <w:bookmarkStart w:id="64" w:name="bookmark33"/>
      <w:bookmarkEnd w:id="64"/>
    </w:p>
    <w:p>
      <w:pPr>
        <w:keepNext w:val="0"/>
        <w:keepLines w:val="0"/>
        <w:pageBreakBefore w:val="0"/>
        <w:widowControl w:val="0"/>
        <w:kinsoku/>
        <w:wordWrap/>
        <w:overflowPunct w:val="0"/>
        <w:topLinePunct w:val="0"/>
        <w:bidi w:val="0"/>
        <w:adjustRightInd w:val="0"/>
        <w:snapToGrid w:val="0"/>
        <w:spacing w:line="360" w:lineRule="auto"/>
        <w:ind w:firstLine="643"/>
        <w:jc w:val="center"/>
        <w:outlineLvl w:val="1"/>
        <w:rPr>
          <w:rFonts w:cs="仿宋"/>
          <w:b/>
          <w:sz w:val="24"/>
          <w:szCs w:val="24"/>
        </w:rPr>
      </w:pPr>
      <w:bookmarkStart w:id="65" w:name="_Toc25337"/>
      <w:r>
        <w:rPr>
          <w:rFonts w:hint="eastAsia" w:cs="仿宋"/>
          <w:b/>
          <w:sz w:val="24"/>
          <w:szCs w:val="24"/>
        </w:rPr>
        <w:t>专栏5</w:t>
      </w:r>
      <w:r>
        <w:rPr>
          <w:rFonts w:hint="eastAsia" w:eastAsia="宋体" w:cs="仿宋"/>
          <w:b/>
          <w:sz w:val="24"/>
          <w:szCs w:val="24"/>
          <w:lang w:val="en-US" w:eastAsia="zh-CN"/>
        </w:rPr>
        <w:t xml:space="preserve"> </w:t>
      </w:r>
      <w:r>
        <w:rPr>
          <w:rFonts w:hint="eastAsia" w:cs="仿宋"/>
          <w:b/>
          <w:bCs/>
          <w:color w:val="000000"/>
          <w:sz w:val="24"/>
          <w:szCs w:val="24"/>
        </w:rPr>
        <w:t>生态治理和修复</w:t>
      </w:r>
      <w:r>
        <w:rPr>
          <w:rFonts w:hint="eastAsia" w:cs="仿宋"/>
          <w:b/>
          <w:sz w:val="24"/>
          <w:szCs w:val="24"/>
        </w:rPr>
        <w:t>重点项目</w:t>
      </w:r>
      <w:bookmarkEnd w:id="6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241" w:type="dxa"/>
            <w:noWrap w:val="0"/>
            <w:vAlign w:val="top"/>
          </w:tcPr>
          <w:p>
            <w:pPr>
              <w:keepNext w:val="0"/>
              <w:keepLines w:val="0"/>
              <w:pageBreakBefore w:val="0"/>
              <w:widowControl w:val="0"/>
              <w:kinsoku/>
              <w:wordWrap/>
              <w:overflowPunct w:val="0"/>
              <w:topLinePunct w:val="0"/>
              <w:bidi w:val="0"/>
              <w:spacing w:line="360" w:lineRule="auto"/>
              <w:ind w:firstLine="560"/>
              <w:jc w:val="both"/>
              <w:rPr>
                <w:rFonts w:hint="eastAsia" w:cs="仿宋"/>
                <w:b/>
                <w:bCs/>
                <w:sz w:val="24"/>
                <w:szCs w:val="24"/>
              </w:rPr>
            </w:pPr>
            <w:r>
              <w:rPr>
                <w:rFonts w:hint="eastAsia" w:cs="仿宋"/>
                <w:b/>
                <w:bCs/>
                <w:sz w:val="24"/>
                <w:szCs w:val="24"/>
                <w:lang w:val="en-US" w:eastAsia="zh-CN"/>
              </w:rPr>
              <w:t>1</w:t>
            </w:r>
            <w:r>
              <w:rPr>
                <w:rFonts w:hint="eastAsia" w:cs="仿宋"/>
                <w:b/>
                <w:bCs/>
                <w:sz w:val="24"/>
                <w:szCs w:val="24"/>
              </w:rPr>
              <w:t>.保护性耕作项目</w:t>
            </w:r>
          </w:p>
          <w:p>
            <w:pPr>
              <w:keepNext w:val="0"/>
              <w:keepLines w:val="0"/>
              <w:pageBreakBefore w:val="0"/>
              <w:widowControl w:val="0"/>
              <w:kinsoku/>
              <w:wordWrap/>
              <w:overflowPunct w:val="0"/>
              <w:topLinePunct w:val="0"/>
              <w:bidi w:val="0"/>
              <w:spacing w:line="360" w:lineRule="auto"/>
              <w:ind w:firstLine="560"/>
              <w:jc w:val="both"/>
              <w:rPr>
                <w:rFonts w:hint="eastAsia" w:cs="仿宋"/>
                <w:sz w:val="24"/>
                <w:szCs w:val="24"/>
              </w:rPr>
            </w:pPr>
            <w:r>
              <w:rPr>
                <w:rFonts w:hint="eastAsia" w:cs="仿宋"/>
                <w:sz w:val="24"/>
                <w:szCs w:val="24"/>
              </w:rPr>
              <w:t>到2025年全市计划落实保护性耕作任务面积215万亩，在全省率先实现保护性耕作整体推进县目标；营造200万亩保护性耕作高标准示范区技术集成叠加样板；建设3个万亩保护性耕作高标准提档升级示范区；建设县级高标准保护性耕作应用基地4个；乡级高标准保护性耕作应用基地12个；建设保护性耕作实施效果监测点1个。</w:t>
            </w:r>
          </w:p>
          <w:p>
            <w:pPr>
              <w:keepNext w:val="0"/>
              <w:keepLines w:val="0"/>
              <w:pageBreakBefore w:val="0"/>
              <w:widowControl w:val="0"/>
              <w:kinsoku/>
              <w:wordWrap/>
              <w:overflowPunct w:val="0"/>
              <w:topLinePunct w:val="0"/>
              <w:bidi w:val="0"/>
              <w:spacing w:line="360" w:lineRule="auto"/>
              <w:ind w:firstLine="560"/>
              <w:jc w:val="both"/>
              <w:rPr>
                <w:rFonts w:hint="eastAsia" w:cs="仿宋"/>
                <w:b/>
                <w:bCs/>
                <w:sz w:val="24"/>
                <w:szCs w:val="24"/>
              </w:rPr>
            </w:pPr>
            <w:r>
              <w:rPr>
                <w:rFonts w:hint="eastAsia" w:cs="仿宋"/>
                <w:b/>
                <w:bCs/>
                <w:sz w:val="24"/>
                <w:szCs w:val="24"/>
                <w:lang w:val="en-US" w:eastAsia="zh-CN"/>
              </w:rPr>
              <w:t>2</w:t>
            </w:r>
            <w:r>
              <w:rPr>
                <w:rFonts w:hint="eastAsia" w:cs="仿宋"/>
                <w:b/>
                <w:bCs/>
                <w:sz w:val="24"/>
                <w:szCs w:val="24"/>
              </w:rPr>
              <w:t>.机械深松项目</w:t>
            </w:r>
          </w:p>
          <w:p>
            <w:pPr>
              <w:keepNext w:val="0"/>
              <w:keepLines w:val="0"/>
              <w:pageBreakBefore w:val="0"/>
              <w:widowControl w:val="0"/>
              <w:kinsoku/>
              <w:wordWrap/>
              <w:overflowPunct w:val="0"/>
              <w:topLinePunct w:val="0"/>
              <w:bidi w:val="0"/>
              <w:spacing w:line="360" w:lineRule="auto"/>
              <w:ind w:firstLine="560"/>
              <w:jc w:val="both"/>
              <w:rPr>
                <w:rFonts w:hint="eastAsia" w:cs="仿宋"/>
                <w:sz w:val="24"/>
                <w:szCs w:val="24"/>
              </w:rPr>
            </w:pPr>
            <w:r>
              <w:rPr>
                <w:rFonts w:hint="eastAsia" w:cs="仿宋"/>
                <w:sz w:val="24"/>
                <w:szCs w:val="24"/>
              </w:rPr>
              <w:t>将耕地深松项目与保护性耕作项目统筹考虑，每年深松作业150万亩以上，增产达到8%以上。</w:t>
            </w:r>
          </w:p>
          <w:p>
            <w:pPr>
              <w:keepNext w:val="0"/>
              <w:keepLines w:val="0"/>
              <w:pageBreakBefore w:val="0"/>
              <w:widowControl w:val="0"/>
              <w:kinsoku/>
              <w:wordWrap/>
              <w:overflowPunct w:val="0"/>
              <w:topLinePunct w:val="0"/>
              <w:bidi w:val="0"/>
              <w:spacing w:line="360" w:lineRule="auto"/>
              <w:ind w:firstLine="560"/>
              <w:jc w:val="both"/>
              <w:rPr>
                <w:rFonts w:hint="eastAsia" w:cs="仿宋"/>
                <w:b/>
                <w:bCs/>
                <w:sz w:val="24"/>
                <w:szCs w:val="24"/>
              </w:rPr>
            </w:pPr>
            <w:r>
              <w:rPr>
                <w:rFonts w:hint="eastAsia" w:cs="仿宋"/>
                <w:b/>
                <w:bCs/>
                <w:sz w:val="24"/>
                <w:szCs w:val="24"/>
                <w:lang w:val="en-US" w:eastAsia="zh-CN"/>
              </w:rPr>
              <w:t>3</w:t>
            </w:r>
            <w:r>
              <w:rPr>
                <w:rFonts w:hint="eastAsia" w:cs="仿宋"/>
                <w:b/>
                <w:bCs/>
                <w:sz w:val="24"/>
                <w:szCs w:val="24"/>
              </w:rPr>
              <w:t>.畜禽粪污屯级集中收储点建设项目</w:t>
            </w:r>
          </w:p>
          <w:p>
            <w:pPr>
              <w:keepNext w:val="0"/>
              <w:keepLines w:val="0"/>
              <w:pageBreakBefore w:val="0"/>
              <w:widowControl w:val="0"/>
              <w:kinsoku/>
              <w:wordWrap/>
              <w:overflowPunct w:val="0"/>
              <w:topLinePunct w:val="0"/>
              <w:bidi w:val="0"/>
              <w:spacing w:line="360" w:lineRule="auto"/>
              <w:ind w:firstLine="560"/>
              <w:jc w:val="both"/>
              <w:rPr>
                <w:rFonts w:hint="eastAsia" w:eastAsia="仿宋" w:cs="仿宋"/>
                <w:sz w:val="24"/>
                <w:szCs w:val="24"/>
                <w:lang w:eastAsia="zh-CN"/>
              </w:rPr>
            </w:pPr>
            <w:r>
              <w:rPr>
                <w:rFonts w:hint="eastAsia" w:cs="仿宋"/>
                <w:sz w:val="24"/>
                <w:szCs w:val="24"/>
              </w:rPr>
              <w:t>项目总投资500万元，在18个乡（镇、街）建设畜禽粪污屯级集中收储点50个，每个收储点建筑面积49.77平方米，液体贮存罐容积5立方米。项目建成后，可有效收集村屯内散养畜禽产生的粪污，改善村屯环境，提高生态效益。</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cs="仿宋"/>
                <w:b/>
                <w:bCs/>
                <w:sz w:val="24"/>
                <w:szCs w:val="24"/>
              </w:rPr>
            </w:pPr>
            <w:r>
              <w:rPr>
                <w:rFonts w:hint="eastAsia" w:ascii="仿宋" w:hAnsi="仿宋" w:cs="仿宋"/>
                <w:b/>
                <w:bCs/>
                <w:sz w:val="24"/>
                <w:szCs w:val="24"/>
                <w:lang w:val="en-US" w:eastAsia="zh-CN"/>
              </w:rPr>
              <w:t>4</w:t>
            </w:r>
            <w:r>
              <w:rPr>
                <w:rFonts w:hint="eastAsia" w:ascii="仿宋" w:hAnsi="仿宋" w:cs="仿宋"/>
                <w:b/>
                <w:bCs/>
                <w:sz w:val="24"/>
                <w:szCs w:val="24"/>
              </w:rPr>
              <w:t>.农作物秸秆综合利用项目</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cs="仿宋"/>
                <w:sz w:val="24"/>
                <w:szCs w:val="24"/>
              </w:rPr>
            </w:pPr>
            <w:r>
              <w:rPr>
                <w:rFonts w:hint="eastAsia" w:ascii="仿宋" w:hAnsi="仿宋" w:cs="仿宋"/>
                <w:sz w:val="24"/>
                <w:szCs w:val="24"/>
              </w:rPr>
              <w:t>每年投资500万元以上，全面推进秸秆“五化”综合利用。加强秸秆利用效果监测评价，布设秸秆还田生态效应监测点位，还田比例达到40%左右，建设秸秆综合利用展示基地2个以上。</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cs="仿宋"/>
                <w:b/>
                <w:bCs/>
                <w:sz w:val="24"/>
                <w:szCs w:val="24"/>
              </w:rPr>
            </w:pPr>
            <w:r>
              <w:rPr>
                <w:rFonts w:hint="eastAsia" w:ascii="仿宋" w:hAnsi="仿宋" w:cs="仿宋"/>
                <w:b/>
                <w:bCs/>
                <w:sz w:val="24"/>
                <w:szCs w:val="24"/>
                <w:lang w:val="en-US" w:eastAsia="zh-CN"/>
              </w:rPr>
              <w:t>5</w:t>
            </w:r>
            <w:r>
              <w:rPr>
                <w:rFonts w:hint="eastAsia" w:ascii="仿宋" w:hAnsi="仿宋" w:cs="仿宋"/>
                <w:b/>
                <w:bCs/>
                <w:sz w:val="24"/>
                <w:szCs w:val="24"/>
              </w:rPr>
              <w:t>.耕地轮作项目</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cs="仿宋"/>
                <w:sz w:val="24"/>
                <w:szCs w:val="24"/>
              </w:rPr>
            </w:pPr>
            <w:r>
              <w:rPr>
                <w:rFonts w:hint="eastAsia" w:ascii="仿宋" w:hAnsi="仿宋" w:cs="仿宋"/>
                <w:sz w:val="24"/>
                <w:szCs w:val="24"/>
              </w:rPr>
              <w:t>投资700万元左右，采取科学轮作，强化技术指导服务，重点推行薯类、杂粮杂豆、大豆与玉米、花生等轮作，适当增加大豆和油料作物种植面积，面积5万亩左右。</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cs="仿宋"/>
                <w:b/>
                <w:bCs/>
                <w:sz w:val="24"/>
                <w:szCs w:val="24"/>
              </w:rPr>
            </w:pPr>
            <w:r>
              <w:rPr>
                <w:rFonts w:hint="eastAsia" w:ascii="仿宋" w:hAnsi="仿宋" w:cs="仿宋"/>
                <w:b/>
                <w:bCs/>
                <w:sz w:val="24"/>
                <w:szCs w:val="24"/>
                <w:lang w:val="en-US" w:eastAsia="zh-CN"/>
              </w:rPr>
              <w:t>6</w:t>
            </w:r>
            <w:r>
              <w:rPr>
                <w:rFonts w:hint="eastAsia" w:ascii="仿宋" w:hAnsi="仿宋" w:cs="仿宋"/>
                <w:b/>
                <w:bCs/>
                <w:sz w:val="24"/>
                <w:szCs w:val="24"/>
              </w:rPr>
              <w:t>.化肥减量增效项目</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cs="仿宋"/>
                <w:sz w:val="24"/>
                <w:szCs w:val="24"/>
              </w:rPr>
            </w:pPr>
            <w:r>
              <w:rPr>
                <w:rFonts w:hint="eastAsia" w:ascii="仿宋" w:hAnsi="仿宋" w:cs="仿宋"/>
                <w:sz w:val="24"/>
                <w:szCs w:val="24"/>
              </w:rPr>
              <w:t>投资537万元。其中，投资415万元，实施“三新”配套升级化肥减量增效技术，示范推广面积20万亩；投资122万元，实施大豆</w:t>
            </w:r>
            <w:r>
              <w:rPr>
                <w:rFonts w:hint="eastAsia" w:ascii="仿宋" w:hAnsi="仿宋" w:cs="仿宋"/>
                <w:sz w:val="24"/>
                <w:szCs w:val="24"/>
                <w:lang w:eastAsia="zh-CN"/>
              </w:rPr>
              <w:t>根</w:t>
            </w:r>
            <w:r>
              <w:rPr>
                <w:rFonts w:hint="eastAsia" w:ascii="仿宋" w:hAnsi="仿宋" w:cs="仿宋"/>
                <w:sz w:val="24"/>
                <w:szCs w:val="24"/>
              </w:rPr>
              <w:t>瘤菌项目研发与推广。在测土配方施肥基础上建设17个试验田，广泛开展农户施肥调查，增强施肥的针对性和科学性。</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cs="仿宋"/>
                <w:b/>
                <w:bCs/>
                <w:sz w:val="24"/>
                <w:szCs w:val="24"/>
                <w:lang w:val="en-US" w:eastAsia="en-US"/>
              </w:rPr>
            </w:pPr>
            <w:r>
              <w:rPr>
                <w:rFonts w:hint="eastAsia" w:ascii="仿宋" w:hAnsi="仿宋" w:cs="仿宋"/>
                <w:b/>
                <w:bCs/>
                <w:sz w:val="24"/>
                <w:szCs w:val="24"/>
                <w:lang w:val="en-US" w:eastAsia="zh-CN"/>
              </w:rPr>
              <w:t>7</w:t>
            </w:r>
            <w:r>
              <w:rPr>
                <w:rFonts w:hint="eastAsia" w:ascii="仿宋" w:hAnsi="仿宋" w:cs="仿宋"/>
                <w:b/>
                <w:bCs/>
                <w:sz w:val="24"/>
                <w:szCs w:val="24"/>
                <w:lang w:val="en-US" w:eastAsia="en-US"/>
              </w:rPr>
              <w:t>.盐碱地耕地治理试点项目（盐碱地普查）</w:t>
            </w:r>
          </w:p>
          <w:p>
            <w:pPr>
              <w:keepNext w:val="0"/>
              <w:keepLines w:val="0"/>
              <w:pageBreakBefore w:val="0"/>
              <w:widowControl w:val="0"/>
              <w:kinsoku/>
              <w:wordWrap/>
              <w:overflowPunct w:val="0"/>
              <w:topLinePunct w:val="0"/>
              <w:bidi w:val="0"/>
              <w:spacing w:line="360" w:lineRule="auto"/>
              <w:ind w:firstLine="560"/>
              <w:jc w:val="both"/>
              <w:rPr>
                <w:rFonts w:hint="eastAsia" w:cs="仿宋"/>
                <w:sz w:val="24"/>
                <w:szCs w:val="24"/>
              </w:rPr>
            </w:pPr>
            <w:r>
              <w:rPr>
                <w:rFonts w:hint="eastAsia" w:cs="仿宋"/>
                <w:sz w:val="24"/>
                <w:szCs w:val="24"/>
              </w:rPr>
              <w:t>投资278万元，选择轻、中度盐碱耕地开展治理试验示范，在已建成或在建的高标准农田区，建设1个千亩以上集中连片盐碱耕地治理示范区。</w:t>
            </w:r>
          </w:p>
          <w:p>
            <w:pPr>
              <w:pStyle w:val="2"/>
              <w:keepNext w:val="0"/>
              <w:keepLines w:val="0"/>
              <w:pageBreakBefore w:val="0"/>
              <w:widowControl w:val="0"/>
              <w:kinsoku/>
              <w:wordWrap/>
              <w:overflowPunct w:val="0"/>
              <w:topLinePunct w:val="0"/>
              <w:bidi w:val="0"/>
              <w:spacing w:line="360" w:lineRule="auto"/>
              <w:ind w:firstLine="560"/>
              <w:jc w:val="both"/>
              <w:rPr>
                <w:rFonts w:hint="default" w:ascii="仿宋" w:hAnsi="仿宋" w:cs="仿宋"/>
                <w:b/>
                <w:bCs/>
                <w:sz w:val="24"/>
                <w:szCs w:val="24"/>
                <w:lang w:val="en-US" w:eastAsia="zh-CN"/>
              </w:rPr>
            </w:pPr>
            <w:r>
              <w:rPr>
                <w:rFonts w:hint="eastAsia" w:ascii="仿宋" w:hAnsi="仿宋" w:cs="仿宋"/>
                <w:b/>
                <w:bCs/>
                <w:sz w:val="24"/>
                <w:szCs w:val="24"/>
                <w:lang w:val="en-US" w:eastAsia="zh-CN"/>
              </w:rPr>
              <w:t>8.吉林省双辽市盐碱地综合利用试点项目</w:t>
            </w:r>
          </w:p>
          <w:p>
            <w:pPr>
              <w:pStyle w:val="2"/>
              <w:keepNext w:val="0"/>
              <w:keepLines w:val="0"/>
              <w:pageBreakBefore w:val="0"/>
              <w:widowControl w:val="0"/>
              <w:kinsoku/>
              <w:wordWrap/>
              <w:overflowPunct w:val="0"/>
              <w:topLinePunct w:val="0"/>
              <w:bidi w:val="0"/>
              <w:spacing w:line="360" w:lineRule="auto"/>
              <w:ind w:firstLine="560"/>
              <w:jc w:val="both"/>
              <w:rPr>
                <w:rFonts w:hint="eastAsia" w:ascii="宋体" w:hAnsi="宋体" w:eastAsia="宋体" w:cs="宋体"/>
                <w:snapToGrid w:val="0"/>
                <w:color w:val="auto"/>
                <w:spacing w:val="0"/>
                <w:w w:val="100"/>
                <w:kern w:val="21"/>
                <w:position w:val="0"/>
                <w:sz w:val="18"/>
                <w:szCs w:val="18"/>
                <w:highlight w:val="none"/>
                <w:lang w:val="en-US" w:eastAsia="zh-CN" w:bidi="ar-SA"/>
              </w:rPr>
            </w:pPr>
            <w:r>
              <w:rPr>
                <w:rFonts w:hint="eastAsia" w:ascii="仿宋" w:hAnsi="仿宋" w:cs="仿宋"/>
                <w:b w:val="0"/>
                <w:bCs w:val="0"/>
                <w:sz w:val="24"/>
                <w:szCs w:val="24"/>
                <w:lang w:val="en-US" w:eastAsia="zh-CN"/>
              </w:rPr>
              <w:t>项目总投资32000万元，改良土壤生态,提高土壤养分,实现种地养地相结合,增强农业可持续发展的后劲。</w:t>
            </w:r>
          </w:p>
          <w:p>
            <w:pPr>
              <w:pStyle w:val="2"/>
              <w:keepNext w:val="0"/>
              <w:keepLines w:val="0"/>
              <w:pageBreakBefore w:val="0"/>
              <w:widowControl w:val="0"/>
              <w:kinsoku/>
              <w:wordWrap/>
              <w:overflowPunct w:val="0"/>
              <w:topLinePunct w:val="0"/>
              <w:bidi w:val="0"/>
              <w:spacing w:line="360" w:lineRule="auto"/>
              <w:ind w:firstLine="560"/>
              <w:jc w:val="both"/>
              <w:rPr>
                <w:rFonts w:hint="default" w:ascii="仿宋" w:hAnsi="仿宋" w:cs="仿宋"/>
                <w:b/>
                <w:bCs/>
                <w:sz w:val="24"/>
                <w:szCs w:val="24"/>
                <w:lang w:val="en-US" w:eastAsia="zh-CN"/>
              </w:rPr>
            </w:pPr>
            <w:r>
              <w:rPr>
                <w:rFonts w:hint="eastAsia" w:ascii="仿宋" w:hAnsi="仿宋" w:cs="仿宋"/>
                <w:b/>
                <w:bCs/>
                <w:sz w:val="24"/>
                <w:szCs w:val="24"/>
                <w:lang w:val="en-US" w:eastAsia="zh-CN"/>
              </w:rPr>
              <w:t>9.农网升级改造工程</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cs="仿宋"/>
                <w:b w:val="0"/>
                <w:bCs w:val="0"/>
                <w:sz w:val="24"/>
                <w:szCs w:val="24"/>
                <w:lang w:val="en-US" w:eastAsia="zh-CN"/>
              </w:rPr>
            </w:pPr>
            <w:r>
              <w:rPr>
                <w:rFonts w:hint="eastAsia" w:ascii="仿宋" w:hAnsi="仿宋" w:cs="仿宋"/>
                <w:b w:val="0"/>
                <w:bCs w:val="0"/>
                <w:sz w:val="24"/>
                <w:szCs w:val="24"/>
                <w:lang w:val="en-US" w:eastAsia="zh-CN"/>
              </w:rPr>
              <w:t>项目总投资</w:t>
            </w:r>
            <w:r>
              <w:rPr>
                <w:rFonts w:hint="default" w:ascii="仿宋" w:hAnsi="仿宋" w:cs="仿宋"/>
                <w:b w:val="0"/>
                <w:bCs w:val="0"/>
                <w:sz w:val="24"/>
                <w:szCs w:val="24"/>
                <w:lang w:val="en-US" w:eastAsia="zh-CN"/>
              </w:rPr>
              <w:t>12488</w:t>
            </w:r>
            <w:r>
              <w:rPr>
                <w:rFonts w:hint="eastAsia" w:ascii="仿宋" w:hAnsi="仿宋" w:cs="仿宋"/>
                <w:b w:val="0"/>
                <w:bCs w:val="0"/>
                <w:sz w:val="24"/>
                <w:szCs w:val="24"/>
                <w:lang w:val="en-US" w:eastAsia="zh-CN"/>
              </w:rPr>
              <w:t>万元，在全市各乡镇街新建及改造线路，项目建成后，提升电网网架结构，提高供电可靠性，电压合格率，保证居民用电。</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cs="仿宋"/>
                <w:b/>
                <w:bCs/>
                <w:sz w:val="24"/>
                <w:szCs w:val="24"/>
                <w:lang w:val="en-US" w:eastAsia="zh-CN"/>
              </w:rPr>
            </w:pPr>
            <w:r>
              <w:rPr>
                <w:rFonts w:hint="eastAsia" w:ascii="仿宋" w:hAnsi="仿宋" w:cs="仿宋"/>
                <w:b/>
                <w:bCs/>
                <w:sz w:val="24"/>
                <w:szCs w:val="24"/>
                <w:lang w:val="en-US" w:eastAsia="zh-CN"/>
              </w:rPr>
              <w:t>10.双辽市绿色种养循环农业试点项目</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cs="仿宋"/>
                <w:b w:val="0"/>
                <w:bCs w:val="0"/>
                <w:sz w:val="24"/>
                <w:szCs w:val="24"/>
                <w:lang w:val="en-US" w:eastAsia="en-US"/>
              </w:rPr>
            </w:pPr>
            <w:r>
              <w:rPr>
                <w:rFonts w:hint="eastAsia" w:ascii="仿宋" w:hAnsi="仿宋" w:cs="仿宋"/>
                <w:b w:val="0"/>
                <w:bCs w:val="0"/>
                <w:sz w:val="24"/>
                <w:szCs w:val="24"/>
                <w:lang w:val="en-US" w:eastAsia="zh-CN"/>
              </w:rPr>
              <w:t>项目总投资</w:t>
            </w:r>
            <w:r>
              <w:rPr>
                <w:rFonts w:hint="default" w:ascii="仿宋" w:hAnsi="仿宋" w:cs="仿宋"/>
                <w:b w:val="0"/>
                <w:bCs w:val="0"/>
                <w:sz w:val="24"/>
                <w:szCs w:val="24"/>
                <w:lang w:val="en-US" w:eastAsia="zh-CN"/>
              </w:rPr>
              <w:t>3000</w:t>
            </w:r>
            <w:r>
              <w:rPr>
                <w:rFonts w:hint="eastAsia" w:ascii="仿宋" w:hAnsi="仿宋" w:cs="仿宋"/>
                <w:b w:val="0"/>
                <w:bCs w:val="0"/>
                <w:sz w:val="24"/>
                <w:szCs w:val="24"/>
                <w:lang w:val="en-US" w:eastAsia="zh-CN"/>
              </w:rPr>
              <w:t>万元，在全市各乡镇街确定一批社会化服务主体，开展10万亩畜禽粪污堆沤肥还田任务。</w:t>
            </w:r>
            <w:r>
              <w:rPr>
                <w:rFonts w:hint="eastAsia" w:ascii="仿宋" w:hAnsi="仿宋" w:cs="仿宋"/>
                <w:b w:val="0"/>
                <w:bCs w:val="0"/>
                <w:sz w:val="24"/>
                <w:szCs w:val="24"/>
                <w:lang w:val="en-US" w:eastAsia="en-US"/>
              </w:rPr>
              <w:t>培育壮大一批提供粪肥收集、处理、运输、施用服务的市场主体，不断强化养殖场户、服务组织、种植主体紧密衔接、利益共享、成本共担的绿色种养循环发展理念，切实带动县域内畜禽粪肥基本还田，巩固提高种植业绿色发展水平。</w:t>
            </w:r>
          </w:p>
          <w:p>
            <w:pPr>
              <w:pStyle w:val="2"/>
              <w:keepNext w:val="0"/>
              <w:keepLines w:val="0"/>
              <w:pageBreakBefore w:val="0"/>
              <w:widowControl w:val="0"/>
              <w:kinsoku/>
              <w:wordWrap/>
              <w:overflowPunct w:val="0"/>
              <w:topLinePunct w:val="0"/>
              <w:bidi w:val="0"/>
              <w:spacing w:line="360" w:lineRule="auto"/>
              <w:ind w:firstLine="560"/>
              <w:jc w:val="both"/>
              <w:rPr>
                <w:rFonts w:hint="default" w:ascii="仿宋" w:hAnsi="仿宋" w:cs="仿宋"/>
                <w:b w:val="0"/>
                <w:bCs w:val="0"/>
                <w:sz w:val="24"/>
                <w:szCs w:val="24"/>
                <w:lang w:val="en-US" w:eastAsia="zh-CN"/>
              </w:rPr>
            </w:pPr>
          </w:p>
          <w:p>
            <w:pPr>
              <w:pStyle w:val="2"/>
              <w:keepNext w:val="0"/>
              <w:keepLines w:val="0"/>
              <w:pageBreakBefore w:val="0"/>
              <w:widowControl w:val="0"/>
              <w:kinsoku/>
              <w:wordWrap/>
              <w:overflowPunct w:val="0"/>
              <w:topLinePunct w:val="0"/>
              <w:bidi w:val="0"/>
              <w:jc w:val="both"/>
              <w:rPr>
                <w:rFonts w:hint="eastAsia"/>
              </w:rPr>
            </w:pPr>
          </w:p>
          <w:p>
            <w:pPr>
              <w:pStyle w:val="2"/>
              <w:keepNext w:val="0"/>
              <w:keepLines w:val="0"/>
              <w:pageBreakBefore w:val="0"/>
              <w:widowControl w:val="0"/>
              <w:kinsoku/>
              <w:wordWrap/>
              <w:overflowPunct w:val="0"/>
              <w:topLinePunct w:val="0"/>
              <w:bidi w:val="0"/>
              <w:jc w:val="both"/>
              <w:rPr>
                <w:rFonts w:hint="eastAsia"/>
              </w:rPr>
            </w:pPr>
          </w:p>
        </w:tc>
      </w:tr>
    </w:tbl>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66" w:name="_Toc25203"/>
      <w:r>
        <w:rPr>
          <w:rFonts w:ascii="楷体" w:hAnsi="楷体" w:eastAsia="楷体" w:cs="楷体"/>
          <w:spacing w:val="0"/>
          <w:sz w:val="32"/>
          <w:szCs w:val="32"/>
        </w:rPr>
        <w:t>（六）突出农产品品牌培育</w:t>
      </w:r>
      <w:bookmarkEnd w:id="66"/>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firstLineChars="200"/>
        <w:jc w:val="both"/>
        <w:textAlignment w:val="baseline"/>
        <w:rPr>
          <w:rFonts w:ascii="仿宋" w:hAnsi="仿宋" w:eastAsia="仿宋" w:cs="仿宋"/>
          <w:sz w:val="31"/>
          <w:szCs w:val="31"/>
        </w:rPr>
      </w:pPr>
      <w:r>
        <w:rPr>
          <w:rFonts w:ascii="仿宋" w:hAnsi="仿宋" w:eastAsia="仿宋" w:cs="仿宋"/>
          <w:spacing w:val="10"/>
          <w:sz w:val="31"/>
          <w:szCs w:val="31"/>
        </w:rPr>
        <w:t>深入实施质量立农、绿色兴农、品牌强农战略，加强绿色</w:t>
      </w:r>
      <w:r>
        <w:rPr>
          <w:rFonts w:ascii="仿宋" w:hAnsi="仿宋" w:eastAsia="仿宋" w:cs="仿宋"/>
          <w:spacing w:val="13"/>
          <w:sz w:val="31"/>
          <w:szCs w:val="31"/>
        </w:rPr>
        <w:t>食品、有机农产品、农产品地理标志认证和</w:t>
      </w:r>
      <w:r>
        <w:rPr>
          <w:rFonts w:ascii="仿宋" w:hAnsi="仿宋" w:eastAsia="仿宋" w:cs="仿宋"/>
          <w:spacing w:val="12"/>
          <w:sz w:val="31"/>
          <w:szCs w:val="31"/>
        </w:rPr>
        <w:t>管理，打造具有双</w:t>
      </w:r>
      <w:r>
        <w:rPr>
          <w:rFonts w:ascii="仿宋" w:hAnsi="仿宋" w:eastAsia="仿宋" w:cs="仿宋"/>
          <w:spacing w:val="5"/>
          <w:sz w:val="31"/>
          <w:szCs w:val="31"/>
        </w:rPr>
        <w:t>辽特色农业品牌体系。到2025年，全市绿色食品、有机农产品</w:t>
      </w:r>
      <w:r>
        <w:rPr>
          <w:rFonts w:ascii="仿宋" w:hAnsi="仿宋" w:eastAsia="仿宋" w:cs="仿宋"/>
          <w:spacing w:val="11"/>
          <w:sz w:val="31"/>
          <w:szCs w:val="31"/>
        </w:rPr>
        <w:t>和农产品地理标志认证达到43个。</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8" w:firstLineChars="200"/>
        <w:jc w:val="both"/>
        <w:textAlignment w:val="baseline"/>
        <w:outlineLvl w:val="2"/>
        <w:rPr>
          <w:rFonts w:ascii="仿宋" w:hAnsi="仿宋" w:eastAsia="仿宋" w:cs="仿宋"/>
          <w:sz w:val="31"/>
          <w:szCs w:val="31"/>
        </w:rPr>
      </w:pPr>
      <w:bookmarkStart w:id="67" w:name="_Toc11748"/>
      <w:r>
        <w:rPr>
          <w:rFonts w:ascii="仿宋" w:hAnsi="仿宋" w:eastAsia="仿宋" w:cs="仿宋"/>
          <w:b/>
          <w:bCs/>
          <w:spacing w:val="4"/>
          <w:sz w:val="31"/>
          <w:szCs w:val="31"/>
        </w:rPr>
        <w:t>1.打造具有双辽特色农业品牌体系</w:t>
      </w:r>
      <w:bookmarkEnd w:id="67"/>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依托双辽市农产品区域公用品牌的优势，围绕绿色有机、健康安全，打造以区域公用品牌为引领、企业品牌为支撑、产品品牌为特色的双辽农业品牌体系。重点打造提升双辽花生品牌、双辽杂粮杂豆品牌、双辽小米品牌、双辽稻米品牌等区域公用品牌。延伸农产品品牌价值链，不断提升农产品品牌影响力。加强双辽食用菌品牌、双辽畜禽肉类品牌等包装营销和标</w:t>
      </w:r>
      <w:r>
        <w:rPr>
          <w:rFonts w:ascii="仿宋" w:hAnsi="仿宋" w:eastAsia="仿宋" w:cs="仿宋"/>
          <w:spacing w:val="6"/>
          <w:sz w:val="31"/>
          <w:szCs w:val="31"/>
        </w:rPr>
        <w:t>准化管理。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6" w:firstLineChars="200"/>
        <w:jc w:val="both"/>
        <w:textAlignment w:val="baseline"/>
        <w:outlineLvl w:val="2"/>
        <w:rPr>
          <w:rFonts w:ascii="仿宋" w:hAnsi="仿宋" w:eastAsia="仿宋" w:cs="仿宋"/>
          <w:sz w:val="31"/>
          <w:szCs w:val="31"/>
        </w:rPr>
      </w:pPr>
      <w:bookmarkStart w:id="68" w:name="_Toc14056"/>
      <w:r>
        <w:rPr>
          <w:rFonts w:ascii="仿宋" w:hAnsi="仿宋" w:eastAsia="仿宋" w:cs="仿宋"/>
          <w:b/>
          <w:bCs/>
          <w:spacing w:val="6"/>
          <w:sz w:val="31"/>
          <w:szCs w:val="31"/>
        </w:rPr>
        <w:t>2.加强品牌农产品标准化生产体系建设</w:t>
      </w:r>
      <w:bookmarkEnd w:id="68"/>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根据国际通行标准、国家标准、行业标准和生产要求，严格品牌农产品的生产技术规范和操作规程。按照农业投</w:t>
      </w:r>
      <w:r>
        <w:rPr>
          <w:rFonts w:ascii="仿宋" w:hAnsi="仿宋" w:eastAsia="仿宋" w:cs="仿宋"/>
          <w:spacing w:val="12"/>
          <w:sz w:val="31"/>
          <w:szCs w:val="31"/>
        </w:rPr>
        <w:t>入品管</w:t>
      </w:r>
      <w:r>
        <w:rPr>
          <w:rFonts w:ascii="仿宋" w:hAnsi="仿宋" w:eastAsia="仿宋" w:cs="仿宋"/>
          <w:spacing w:val="13"/>
          <w:sz w:val="31"/>
          <w:szCs w:val="31"/>
        </w:rPr>
        <w:t>理、产品分等分级、产地准出、包装标识等方面的标准</w:t>
      </w:r>
      <w:r>
        <w:rPr>
          <w:rFonts w:ascii="仿宋" w:hAnsi="仿宋" w:eastAsia="仿宋" w:cs="仿宋"/>
          <w:spacing w:val="12"/>
          <w:sz w:val="31"/>
          <w:szCs w:val="31"/>
        </w:rPr>
        <w:t>，制定</w:t>
      </w:r>
      <w:r>
        <w:rPr>
          <w:rFonts w:ascii="仿宋" w:hAnsi="仿宋" w:eastAsia="仿宋" w:cs="仿宋"/>
          <w:spacing w:val="13"/>
          <w:sz w:val="31"/>
          <w:szCs w:val="31"/>
        </w:rPr>
        <w:t>简明实用的操作手册，建立起既符合农产品实际又与国</w:t>
      </w:r>
      <w:r>
        <w:rPr>
          <w:rFonts w:ascii="仿宋" w:hAnsi="仿宋" w:eastAsia="仿宋" w:cs="仿宋"/>
          <w:spacing w:val="12"/>
          <w:sz w:val="31"/>
          <w:szCs w:val="31"/>
        </w:rPr>
        <w:t>际、国</w:t>
      </w:r>
      <w:r>
        <w:rPr>
          <w:rFonts w:ascii="仿宋" w:hAnsi="仿宋" w:eastAsia="仿宋" w:cs="仿宋"/>
          <w:spacing w:val="10"/>
          <w:sz w:val="31"/>
          <w:szCs w:val="31"/>
        </w:rPr>
        <w:t>家和行业标准接轨的农业标准化生产体系。同时，农产品企业</w:t>
      </w:r>
      <w:r>
        <w:rPr>
          <w:rFonts w:ascii="仿宋" w:hAnsi="仿宋" w:eastAsia="仿宋" w:cs="仿宋"/>
          <w:spacing w:val="13"/>
          <w:sz w:val="31"/>
          <w:szCs w:val="31"/>
        </w:rPr>
        <w:t>要和种植户达成合作协议，在农产品供销期间，强化种</w:t>
      </w:r>
      <w:r>
        <w:rPr>
          <w:rFonts w:ascii="仿宋" w:hAnsi="仿宋" w:eastAsia="仿宋" w:cs="仿宋"/>
          <w:spacing w:val="12"/>
          <w:sz w:val="31"/>
          <w:szCs w:val="31"/>
        </w:rPr>
        <w:t>植户的</w:t>
      </w:r>
      <w:r>
        <w:rPr>
          <w:rFonts w:ascii="仿宋" w:hAnsi="仿宋" w:eastAsia="仿宋" w:cs="仿宋"/>
          <w:spacing w:val="13"/>
          <w:sz w:val="31"/>
          <w:szCs w:val="31"/>
        </w:rPr>
        <w:t>品牌观念，为品牌农产品质量、安全以及口感等提供保</w:t>
      </w:r>
      <w:r>
        <w:rPr>
          <w:rFonts w:ascii="仿宋" w:hAnsi="仿宋" w:eastAsia="仿宋" w:cs="仿宋"/>
          <w:spacing w:val="12"/>
          <w:sz w:val="31"/>
          <w:szCs w:val="31"/>
        </w:rPr>
        <w:t>证，为</w:t>
      </w:r>
      <w:r>
        <w:rPr>
          <w:rFonts w:ascii="仿宋" w:hAnsi="仿宋" w:eastAsia="仿宋" w:cs="仿宋"/>
          <w:spacing w:val="8"/>
          <w:sz w:val="31"/>
          <w:szCs w:val="31"/>
        </w:rPr>
        <w:t>农产品品牌建设奠定良好的基础。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6" w:firstLineChars="200"/>
        <w:jc w:val="both"/>
        <w:textAlignment w:val="baseline"/>
        <w:outlineLvl w:val="2"/>
        <w:rPr>
          <w:rFonts w:ascii="仿宋" w:hAnsi="仿宋" w:eastAsia="仿宋" w:cs="仿宋"/>
          <w:sz w:val="31"/>
          <w:szCs w:val="31"/>
        </w:rPr>
      </w:pPr>
      <w:bookmarkStart w:id="69" w:name="_Toc16132"/>
      <w:r>
        <w:rPr>
          <w:rFonts w:ascii="仿宋" w:hAnsi="仿宋" w:eastAsia="仿宋" w:cs="仿宋"/>
          <w:b/>
          <w:bCs/>
          <w:spacing w:val="6"/>
          <w:sz w:val="31"/>
          <w:szCs w:val="31"/>
        </w:rPr>
        <w:t>3.加强品牌农产品质量安全体系建设</w:t>
      </w:r>
      <w:bookmarkEnd w:id="69"/>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8" w:firstLineChars="200"/>
        <w:jc w:val="both"/>
        <w:textAlignment w:val="baseline"/>
        <w:rPr>
          <w:rFonts w:ascii="仿宋" w:hAnsi="仿宋" w:eastAsia="仿宋" w:cs="仿宋"/>
          <w:sz w:val="31"/>
          <w:szCs w:val="31"/>
        </w:rPr>
      </w:pPr>
      <w:r>
        <w:rPr>
          <w:rFonts w:ascii="仿宋" w:hAnsi="仿宋" w:eastAsia="仿宋" w:cs="仿宋"/>
          <w:spacing w:val="12"/>
          <w:sz w:val="31"/>
          <w:szCs w:val="31"/>
        </w:rPr>
        <w:t>突出源头治理，加大品牌农产品投入品监管力度，严厉查</w:t>
      </w:r>
      <w:r>
        <w:rPr>
          <w:rFonts w:ascii="仿宋" w:hAnsi="仿宋" w:eastAsia="仿宋" w:cs="仿宋"/>
          <w:spacing w:val="10"/>
          <w:sz w:val="31"/>
          <w:szCs w:val="31"/>
        </w:rPr>
        <w:t>处违禁农药、兽药的生产、销售、使用等违法行为。引导农业</w:t>
      </w:r>
      <w:r>
        <w:rPr>
          <w:rFonts w:ascii="仿宋" w:hAnsi="仿宋" w:eastAsia="仿宋" w:cs="仿宋"/>
          <w:spacing w:val="13"/>
          <w:sz w:val="31"/>
          <w:szCs w:val="31"/>
        </w:rPr>
        <w:t>经营主体强化安全理念、落实主体责任，推行农</w:t>
      </w:r>
      <w:r>
        <w:rPr>
          <w:rFonts w:ascii="仿宋" w:hAnsi="仿宋" w:eastAsia="仿宋" w:cs="仿宋"/>
          <w:spacing w:val="12"/>
          <w:sz w:val="31"/>
          <w:szCs w:val="31"/>
        </w:rPr>
        <w:t>产品条码制度</w:t>
      </w:r>
      <w:r>
        <w:rPr>
          <w:rFonts w:ascii="仿宋" w:hAnsi="仿宋" w:eastAsia="仿宋" w:cs="仿宋"/>
          <w:spacing w:val="13"/>
          <w:sz w:val="31"/>
          <w:szCs w:val="31"/>
        </w:rPr>
        <w:t>或视频追溯系统，建立产销一体化的农产品质量安全</w:t>
      </w:r>
      <w:r>
        <w:rPr>
          <w:rFonts w:ascii="仿宋" w:hAnsi="仿宋" w:eastAsia="仿宋" w:cs="仿宋"/>
          <w:spacing w:val="12"/>
          <w:sz w:val="31"/>
          <w:szCs w:val="31"/>
        </w:rPr>
        <w:t>追溯信息</w:t>
      </w:r>
      <w:r>
        <w:rPr>
          <w:rFonts w:ascii="仿宋" w:hAnsi="仿宋" w:eastAsia="仿宋" w:cs="仿宋"/>
          <w:spacing w:val="13"/>
          <w:sz w:val="31"/>
          <w:szCs w:val="31"/>
        </w:rPr>
        <w:t>网络，实现生产记录可存储、产品流向可追踪、储运</w:t>
      </w:r>
      <w:r>
        <w:rPr>
          <w:rFonts w:ascii="仿宋" w:hAnsi="仿宋" w:eastAsia="仿宋" w:cs="仿宋"/>
          <w:spacing w:val="12"/>
          <w:sz w:val="31"/>
          <w:szCs w:val="31"/>
        </w:rPr>
        <w:t>信息可查</w:t>
      </w:r>
      <w:r>
        <w:rPr>
          <w:rFonts w:ascii="仿宋" w:hAnsi="仿宋" w:eastAsia="仿宋" w:cs="仿宋"/>
          <w:spacing w:val="8"/>
          <w:sz w:val="31"/>
          <w:szCs w:val="31"/>
        </w:rPr>
        <w:t>询，确保品牌农产品质量安全。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6" w:firstLineChars="200"/>
        <w:jc w:val="both"/>
        <w:textAlignment w:val="baseline"/>
        <w:outlineLvl w:val="2"/>
        <w:rPr>
          <w:rFonts w:ascii="仿宋" w:hAnsi="仿宋" w:eastAsia="仿宋" w:cs="仿宋"/>
          <w:sz w:val="31"/>
          <w:szCs w:val="31"/>
        </w:rPr>
      </w:pPr>
      <w:bookmarkStart w:id="70" w:name="_Toc19877"/>
      <w:r>
        <w:rPr>
          <w:rFonts w:ascii="仿宋" w:hAnsi="仿宋" w:eastAsia="仿宋" w:cs="仿宋"/>
          <w:b/>
          <w:bCs/>
          <w:spacing w:val="6"/>
          <w:sz w:val="31"/>
          <w:szCs w:val="31"/>
        </w:rPr>
        <w:t>4.建设品牌推广和营销策划体系</w:t>
      </w:r>
      <w:bookmarkEnd w:id="70"/>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8" w:firstLineChars="200"/>
        <w:jc w:val="both"/>
        <w:textAlignment w:val="baseline"/>
        <w:rPr>
          <w:rFonts w:ascii="仿宋" w:hAnsi="仿宋" w:eastAsia="仿宋" w:cs="仿宋"/>
          <w:sz w:val="31"/>
          <w:szCs w:val="31"/>
        </w:rPr>
      </w:pPr>
      <w:r>
        <w:rPr>
          <w:rFonts w:ascii="仿宋" w:hAnsi="仿宋" w:eastAsia="仿宋" w:cs="仿宋"/>
          <w:spacing w:val="12"/>
          <w:sz w:val="31"/>
          <w:szCs w:val="31"/>
        </w:rPr>
        <w:t>强化特色农产品品牌策划，挖掘品牌自身内涵，设计具有</w:t>
      </w:r>
      <w:r>
        <w:rPr>
          <w:rFonts w:ascii="仿宋" w:hAnsi="仿宋" w:eastAsia="仿宋" w:cs="仿宋"/>
          <w:spacing w:val="13"/>
          <w:sz w:val="31"/>
          <w:szCs w:val="31"/>
        </w:rPr>
        <w:t>双辽地域特色和文化底蕴的农产品品牌符号，塑造鲜</w:t>
      </w:r>
      <w:r>
        <w:rPr>
          <w:rFonts w:ascii="仿宋" w:hAnsi="仿宋" w:eastAsia="仿宋" w:cs="仿宋"/>
          <w:spacing w:val="12"/>
          <w:sz w:val="31"/>
          <w:szCs w:val="31"/>
        </w:rPr>
        <w:t>明的品牌</w:t>
      </w:r>
      <w:r>
        <w:rPr>
          <w:rFonts w:ascii="仿宋" w:hAnsi="仿宋" w:eastAsia="仿宋" w:cs="仿宋"/>
          <w:spacing w:val="13"/>
          <w:sz w:val="31"/>
          <w:szCs w:val="31"/>
        </w:rPr>
        <w:t>个性。对整体品牌形象进行品牌商标注册和版权登记</w:t>
      </w:r>
      <w:r>
        <w:rPr>
          <w:rFonts w:ascii="仿宋" w:hAnsi="仿宋" w:eastAsia="仿宋" w:cs="仿宋"/>
          <w:spacing w:val="12"/>
          <w:sz w:val="31"/>
          <w:szCs w:val="31"/>
        </w:rPr>
        <w:t>，取得产</w:t>
      </w:r>
      <w:r>
        <w:rPr>
          <w:rFonts w:ascii="仿宋" w:hAnsi="仿宋" w:eastAsia="仿宋" w:cs="仿宋"/>
          <w:spacing w:val="13"/>
          <w:sz w:val="31"/>
          <w:szCs w:val="31"/>
        </w:rPr>
        <w:t>权保护。运用法律手段，强化品牌保护，形成良好政</w:t>
      </w:r>
      <w:r>
        <w:rPr>
          <w:rFonts w:ascii="仿宋" w:hAnsi="仿宋" w:eastAsia="仿宋" w:cs="仿宋"/>
          <w:spacing w:val="12"/>
          <w:sz w:val="31"/>
          <w:szCs w:val="31"/>
        </w:rPr>
        <w:t>策环境。</w:t>
      </w:r>
      <w:r>
        <w:rPr>
          <w:rFonts w:ascii="仿宋" w:hAnsi="仿宋" w:eastAsia="仿宋" w:cs="仿宋"/>
          <w:spacing w:val="10"/>
          <w:sz w:val="31"/>
          <w:szCs w:val="31"/>
        </w:rPr>
        <w:t>充分利用电视、报刊、电台、互联网等媒体，构筑农产品品牌</w:t>
      </w:r>
      <w:r>
        <w:rPr>
          <w:rFonts w:ascii="仿宋" w:hAnsi="仿宋" w:eastAsia="仿宋" w:cs="仿宋"/>
          <w:spacing w:val="7"/>
          <w:sz w:val="31"/>
          <w:szCs w:val="31"/>
        </w:rPr>
        <w:t>立体化宣传网络;举办地方特色农产品展会，与区域其</w:t>
      </w:r>
      <w:r>
        <w:rPr>
          <w:rFonts w:ascii="仿宋" w:hAnsi="仿宋" w:eastAsia="仿宋" w:cs="仿宋"/>
          <w:spacing w:val="6"/>
          <w:sz w:val="31"/>
          <w:szCs w:val="31"/>
        </w:rPr>
        <w:t>它品牌农</w:t>
      </w:r>
      <w:r>
        <w:rPr>
          <w:rFonts w:ascii="仿宋" w:hAnsi="仿宋" w:eastAsia="仿宋" w:cs="仿宋"/>
          <w:spacing w:val="13"/>
          <w:sz w:val="31"/>
          <w:szCs w:val="31"/>
        </w:rPr>
        <w:t>产品进行联合推介、捆绑式宣传推广，实现对品牌知</w:t>
      </w:r>
      <w:r>
        <w:rPr>
          <w:rFonts w:ascii="仿宋" w:hAnsi="仿宋" w:eastAsia="仿宋" w:cs="仿宋"/>
          <w:spacing w:val="12"/>
          <w:sz w:val="31"/>
          <w:szCs w:val="31"/>
        </w:rPr>
        <w:t>名度、美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ascii="仿宋" w:hAnsi="仿宋" w:eastAsia="仿宋" w:cs="仿宋"/>
          <w:sz w:val="31"/>
          <w:szCs w:val="31"/>
        </w:rPr>
      </w:pPr>
      <w:r>
        <w:rPr>
          <w:rFonts w:ascii="仿宋" w:hAnsi="仿宋" w:eastAsia="仿宋" w:cs="仿宋"/>
          <w:spacing w:val="13"/>
          <w:sz w:val="31"/>
          <w:szCs w:val="31"/>
        </w:rPr>
        <w:t>誉度及满意度的提升，全力塑造农产品整体品牌形象，</w:t>
      </w:r>
      <w:r>
        <w:rPr>
          <w:rFonts w:ascii="仿宋" w:hAnsi="仿宋" w:eastAsia="仿宋" w:cs="仿宋"/>
          <w:spacing w:val="12"/>
          <w:sz w:val="31"/>
          <w:szCs w:val="31"/>
        </w:rPr>
        <w:t>提高市</w:t>
      </w:r>
      <w:r>
        <w:rPr>
          <w:rFonts w:ascii="仿宋" w:hAnsi="仿宋" w:eastAsia="仿宋" w:cs="仿宋"/>
          <w:spacing w:val="13"/>
          <w:sz w:val="31"/>
          <w:szCs w:val="31"/>
        </w:rPr>
        <w:t>场知名度。利用乡村旅游、休闲农业、观光旅游等方式</w:t>
      </w:r>
      <w:r>
        <w:rPr>
          <w:rFonts w:ascii="仿宋" w:hAnsi="仿宋" w:eastAsia="仿宋" w:cs="仿宋"/>
          <w:spacing w:val="12"/>
          <w:sz w:val="31"/>
          <w:szCs w:val="31"/>
        </w:rPr>
        <w:t>，促进</w:t>
      </w:r>
      <w:r>
        <w:rPr>
          <w:rFonts w:ascii="仿宋" w:hAnsi="仿宋" w:eastAsia="仿宋" w:cs="仿宋"/>
          <w:spacing w:val="8"/>
          <w:sz w:val="31"/>
          <w:szCs w:val="31"/>
        </w:rPr>
        <w:t>品牌农产品的传播和销售。</w:t>
      </w:r>
    </w:p>
    <w:p>
      <w:pPr>
        <w:pStyle w:val="2"/>
        <w:keepNext w:val="0"/>
        <w:keepLines w:val="0"/>
        <w:pageBreakBefore w:val="0"/>
        <w:widowControl w:val="0"/>
        <w:kinsoku/>
        <w:wordWrap/>
        <w:overflowPunct w:val="0"/>
        <w:topLinePunct w:val="0"/>
        <w:bidi w:val="0"/>
        <w:jc w:val="both"/>
      </w:pPr>
    </w:p>
    <w:p>
      <w:pPr>
        <w:keepNext w:val="0"/>
        <w:keepLines w:val="0"/>
        <w:pageBreakBefore w:val="0"/>
        <w:widowControl w:val="0"/>
        <w:kinsoku/>
        <w:wordWrap/>
        <w:overflowPunct w:val="0"/>
        <w:topLinePunct w:val="0"/>
        <w:bidi w:val="0"/>
        <w:adjustRightInd w:val="0"/>
        <w:snapToGrid w:val="0"/>
        <w:spacing w:line="360" w:lineRule="auto"/>
        <w:ind w:firstLine="643"/>
        <w:jc w:val="center"/>
        <w:outlineLvl w:val="1"/>
      </w:pPr>
      <w:bookmarkStart w:id="71" w:name="_Toc15253"/>
      <w:r>
        <w:rPr>
          <w:rFonts w:hint="eastAsia" w:cs="仿宋"/>
          <w:b/>
          <w:sz w:val="24"/>
          <w:szCs w:val="24"/>
        </w:rPr>
        <w:t>专栏6</w:t>
      </w:r>
      <w:r>
        <w:rPr>
          <w:rFonts w:hint="eastAsia" w:eastAsia="宋体" w:cs="仿宋"/>
          <w:b/>
          <w:sz w:val="24"/>
          <w:szCs w:val="24"/>
          <w:lang w:val="en-US" w:eastAsia="zh-CN"/>
        </w:rPr>
        <w:t xml:space="preserve"> </w:t>
      </w:r>
      <w:r>
        <w:rPr>
          <w:rFonts w:hint="eastAsia" w:cs="仿宋"/>
          <w:b/>
          <w:sz w:val="24"/>
          <w:szCs w:val="24"/>
          <w:lang w:eastAsia="zh-CN"/>
        </w:rPr>
        <w:t>培育花生新品种</w:t>
      </w:r>
      <w:bookmarkEnd w:id="7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241" w:type="dxa"/>
            <w:noWrap w:val="0"/>
            <w:vAlign w:val="top"/>
          </w:tcPr>
          <w:p>
            <w:pPr>
              <w:keepNext w:val="0"/>
              <w:keepLines w:val="0"/>
              <w:pageBreakBefore w:val="0"/>
              <w:widowControl w:val="0"/>
              <w:kinsoku/>
              <w:wordWrap/>
              <w:overflowPunct w:val="0"/>
              <w:topLinePunct w:val="0"/>
              <w:bidi w:val="0"/>
              <w:spacing w:line="360" w:lineRule="auto"/>
              <w:ind w:firstLine="560"/>
              <w:jc w:val="both"/>
              <w:rPr>
                <w:rFonts w:hint="eastAsia"/>
                <w:sz w:val="24"/>
                <w:szCs w:val="24"/>
              </w:rPr>
            </w:pPr>
            <w:r>
              <w:rPr>
                <w:rFonts w:hint="eastAsia"/>
                <w:color w:val="000000"/>
                <w:sz w:val="24"/>
                <w:szCs w:val="24"/>
              </w:rPr>
              <w:t>深入研发推广系列高产优质花生</w:t>
            </w:r>
            <w:r>
              <w:rPr>
                <w:rFonts w:hint="eastAsia"/>
                <w:color w:val="000000"/>
                <w:sz w:val="24"/>
                <w:szCs w:val="24"/>
                <w:lang w:eastAsia="zh-CN"/>
              </w:rPr>
              <w:t>新</w:t>
            </w:r>
            <w:r>
              <w:rPr>
                <w:rFonts w:hint="eastAsia"/>
                <w:color w:val="000000"/>
                <w:sz w:val="24"/>
                <w:szCs w:val="24"/>
              </w:rPr>
              <w:t>品种，目标获得兼具高油、高产、抗病等更多优良性状的花生新品种，持续推进花生新品种、新技术的研发与应用，为我市乡村振兴特色产业发展实施作出应有贡献。在“十四五”时期，计划研发完成十个新品种。</w:t>
            </w:r>
          </w:p>
        </w:tc>
      </w:tr>
    </w:tbl>
    <w:p>
      <w:pPr>
        <w:pStyle w:val="4"/>
        <w:keepNext w:val="0"/>
        <w:keepLines w:val="0"/>
        <w:pageBreakBefore w:val="0"/>
        <w:widowControl w:val="0"/>
        <w:kinsoku/>
        <w:wordWrap/>
        <w:overflowPunct w:val="0"/>
        <w:topLinePunct w:val="0"/>
        <w:bidi w:val="0"/>
        <w:spacing w:line="289" w:lineRule="auto"/>
        <w:jc w:val="both"/>
      </w:pP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72" w:name="bookmark35"/>
      <w:bookmarkEnd w:id="72"/>
      <w:bookmarkStart w:id="73" w:name="_Toc14394"/>
      <w:r>
        <w:rPr>
          <w:rFonts w:ascii="楷体" w:hAnsi="楷体" w:eastAsia="楷体" w:cs="楷体"/>
          <w:spacing w:val="0"/>
          <w:sz w:val="32"/>
          <w:szCs w:val="32"/>
        </w:rPr>
        <w:t>（七）加强科技创新推进数字化进程</w:t>
      </w:r>
      <w:bookmarkEnd w:id="73"/>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8" w:firstLineChars="200"/>
        <w:jc w:val="both"/>
        <w:textAlignment w:val="baseline"/>
        <w:rPr>
          <w:rFonts w:ascii="仿宋" w:hAnsi="仿宋" w:eastAsia="仿宋" w:cs="仿宋"/>
          <w:sz w:val="31"/>
          <w:szCs w:val="31"/>
        </w:rPr>
      </w:pPr>
      <w:r>
        <w:rPr>
          <w:rFonts w:ascii="仿宋" w:hAnsi="仿宋" w:eastAsia="仿宋" w:cs="仿宋"/>
          <w:spacing w:val="12"/>
          <w:sz w:val="31"/>
          <w:szCs w:val="31"/>
        </w:rPr>
        <w:t>突出农业科技创新，加强农业与科技融合。加大科技要素</w:t>
      </w:r>
      <w:r>
        <w:rPr>
          <w:rFonts w:ascii="仿宋" w:hAnsi="仿宋" w:eastAsia="仿宋" w:cs="仿宋"/>
          <w:spacing w:val="13"/>
          <w:sz w:val="31"/>
          <w:szCs w:val="31"/>
        </w:rPr>
        <w:t>融入农业生产各个环节的工作力度，强化农业科技领域平台建设，加快农业科技成果转化，全力培育推广优良品种，促进先进实用技术集成创新与推广应用。加快创建数字农业和科技创</w:t>
      </w:r>
      <w:r>
        <w:rPr>
          <w:rFonts w:ascii="仿宋" w:hAnsi="仿宋" w:eastAsia="仿宋" w:cs="仿宋"/>
          <w:spacing w:val="10"/>
          <w:sz w:val="31"/>
          <w:szCs w:val="31"/>
        </w:rPr>
        <w:t>新典型模式，以数字乡村建设引领农业现代化，整合农业农村</w:t>
      </w:r>
      <w:r>
        <w:rPr>
          <w:rFonts w:ascii="仿宋" w:hAnsi="仿宋" w:eastAsia="仿宋" w:cs="仿宋"/>
          <w:spacing w:val="13"/>
          <w:sz w:val="31"/>
          <w:szCs w:val="31"/>
        </w:rPr>
        <w:t>基础数据，利用区块链、云服务、大数据技术，开展农业数据</w:t>
      </w:r>
      <w:r>
        <w:rPr>
          <w:rFonts w:ascii="仿宋" w:hAnsi="仿宋" w:eastAsia="仿宋" w:cs="仿宋"/>
          <w:spacing w:val="5"/>
          <w:sz w:val="31"/>
          <w:szCs w:val="31"/>
        </w:rPr>
        <w:t>服务与应用，推动数字产业化、产业数字化。到2025年，全市</w:t>
      </w:r>
      <w:r>
        <w:rPr>
          <w:rFonts w:ascii="仿宋" w:hAnsi="仿宋" w:eastAsia="仿宋" w:cs="仿宋"/>
          <w:spacing w:val="8"/>
          <w:sz w:val="31"/>
          <w:szCs w:val="31"/>
        </w:rPr>
        <w:t>农村信息服务站实现村级全覆盖，农业信息化率达到100%，农</w:t>
      </w:r>
      <w:r>
        <w:rPr>
          <w:rFonts w:ascii="仿宋" w:hAnsi="仿宋" w:eastAsia="仿宋" w:cs="仿宋"/>
          <w:spacing w:val="3"/>
          <w:sz w:val="31"/>
          <w:szCs w:val="31"/>
        </w:rPr>
        <w:t>村信息服务站达到192个。</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8" w:firstLineChars="200"/>
        <w:jc w:val="both"/>
        <w:textAlignment w:val="baseline"/>
        <w:outlineLvl w:val="2"/>
        <w:rPr>
          <w:rFonts w:ascii="仿宋" w:hAnsi="仿宋" w:eastAsia="仿宋" w:cs="仿宋"/>
          <w:sz w:val="31"/>
          <w:szCs w:val="31"/>
        </w:rPr>
      </w:pPr>
      <w:bookmarkStart w:id="74" w:name="_Toc29474"/>
      <w:r>
        <w:rPr>
          <w:rFonts w:ascii="仿宋" w:hAnsi="仿宋" w:eastAsia="仿宋" w:cs="仿宋"/>
          <w:b/>
          <w:bCs/>
          <w:spacing w:val="4"/>
          <w:sz w:val="31"/>
          <w:szCs w:val="31"/>
        </w:rPr>
        <w:t>1.加强科技创新与成果转化</w:t>
      </w:r>
      <w:bookmarkEnd w:id="74"/>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z w:val="31"/>
          <w:szCs w:val="31"/>
        </w:rPr>
      </w:pPr>
      <w:r>
        <w:rPr>
          <w:rFonts w:ascii="仿宋" w:hAnsi="仿宋" w:eastAsia="仿宋" w:cs="仿宋"/>
          <w:spacing w:val="4"/>
          <w:sz w:val="31"/>
          <w:szCs w:val="31"/>
        </w:rPr>
        <w:t>加快优良品种的推广和应用，重点加大花生种子研</w:t>
      </w:r>
      <w:r>
        <w:rPr>
          <w:rFonts w:ascii="仿宋" w:hAnsi="仿宋" w:eastAsia="仿宋" w:cs="仿宋"/>
          <w:spacing w:val="3"/>
          <w:sz w:val="31"/>
          <w:szCs w:val="31"/>
        </w:rPr>
        <w:t>发力度，</w:t>
      </w:r>
      <w:r>
        <w:rPr>
          <w:rFonts w:ascii="仿宋" w:hAnsi="仿宋" w:eastAsia="仿宋" w:cs="仿宋"/>
          <w:spacing w:val="13"/>
          <w:sz w:val="31"/>
          <w:szCs w:val="31"/>
        </w:rPr>
        <w:t>逐步提高良种覆盖面积。加强畜禽良种繁育体系建设，突出地方特色畜禽品种选育与开发，扩大良种覆盖面。建设农业科技</w:t>
      </w:r>
      <w:r>
        <w:rPr>
          <w:rFonts w:ascii="仿宋" w:hAnsi="仿宋" w:eastAsia="仿宋" w:cs="仿宋"/>
          <w:spacing w:val="14"/>
          <w:sz w:val="31"/>
          <w:szCs w:val="31"/>
        </w:rPr>
        <w:t>成果转化中心、科技人员创业平台、高新技术产业孵</w:t>
      </w:r>
      <w:r>
        <w:rPr>
          <w:rFonts w:ascii="仿宋" w:hAnsi="仿宋" w:eastAsia="仿宋" w:cs="仿宋"/>
          <w:spacing w:val="13"/>
          <w:sz w:val="31"/>
          <w:szCs w:val="31"/>
        </w:rPr>
        <w:t>化基地，落实科研成果转化及农业科技创新激励政策，促进已有成熟现</w:t>
      </w:r>
      <w:r>
        <w:rPr>
          <w:rFonts w:ascii="仿宋" w:hAnsi="仿宋" w:eastAsia="仿宋" w:cs="仿宋"/>
          <w:spacing w:val="5"/>
          <w:sz w:val="31"/>
          <w:szCs w:val="31"/>
        </w:rPr>
        <w:t>代农业技术成果转化应用和产业化，加快技术熟化、成果</w:t>
      </w:r>
      <w:r>
        <w:rPr>
          <w:rFonts w:ascii="仿宋" w:hAnsi="仿宋" w:eastAsia="仿宋" w:cs="仿宋"/>
          <w:spacing w:val="4"/>
          <w:sz w:val="31"/>
          <w:szCs w:val="31"/>
        </w:rPr>
        <w:t>物化、</w:t>
      </w:r>
      <w:r>
        <w:rPr>
          <w:rFonts w:ascii="仿宋" w:hAnsi="仿宋" w:eastAsia="仿宋" w:cs="仿宋"/>
          <w:spacing w:val="5"/>
          <w:sz w:val="31"/>
          <w:szCs w:val="31"/>
        </w:rPr>
        <w:t>产品细化。</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2" w:firstLineChars="200"/>
        <w:jc w:val="both"/>
        <w:textAlignment w:val="baseline"/>
        <w:outlineLvl w:val="2"/>
        <w:rPr>
          <w:rFonts w:ascii="仿宋" w:hAnsi="仿宋" w:eastAsia="仿宋" w:cs="仿宋"/>
          <w:sz w:val="31"/>
          <w:szCs w:val="31"/>
        </w:rPr>
      </w:pPr>
      <w:bookmarkStart w:id="75" w:name="_Toc25431"/>
      <w:r>
        <w:rPr>
          <w:rFonts w:ascii="仿宋" w:hAnsi="仿宋" w:eastAsia="仿宋" w:cs="仿宋"/>
          <w:b/>
          <w:bCs/>
          <w:spacing w:val="5"/>
          <w:sz w:val="31"/>
          <w:szCs w:val="31"/>
        </w:rPr>
        <w:t>2.推进农业与数字技术融合</w:t>
      </w:r>
      <w:bookmarkEnd w:id="75"/>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加快农业生产经营数字化改造，加强生产链前端的研发布</w:t>
      </w:r>
      <w:r>
        <w:rPr>
          <w:rFonts w:ascii="仿宋" w:hAnsi="仿宋" w:eastAsia="仿宋" w:cs="仿宋"/>
          <w:spacing w:val="10"/>
          <w:sz w:val="31"/>
          <w:szCs w:val="31"/>
        </w:rPr>
        <w:t>局、促进跨学科合作、保持科研与田间的协调互动，以农业数</w:t>
      </w:r>
      <w:r>
        <w:rPr>
          <w:rFonts w:ascii="仿宋" w:hAnsi="仿宋" w:eastAsia="仿宋" w:cs="仿宋"/>
          <w:spacing w:val="13"/>
          <w:sz w:val="31"/>
          <w:szCs w:val="31"/>
        </w:rPr>
        <w:t>字化推动全要素生产率大幅提升。在粮食生产核心区，构建天地一体的农业物联网测控体系，实施智能节水灌溉、测土配方施肥、农机定位耕种等精准化作业。在棚膜产业集成推广环境监测和智能控制。在畜禽标准化规模养殖基地和水产健康养殖示范基地，推动饲料精准投放、疾病自动诊断、废弃物自动回</w:t>
      </w:r>
      <w:r>
        <w:rPr>
          <w:rFonts w:ascii="仿宋" w:hAnsi="仿宋" w:eastAsia="仿宋" w:cs="仿宋"/>
          <w:spacing w:val="8"/>
          <w:sz w:val="31"/>
          <w:szCs w:val="31"/>
        </w:rPr>
        <w:t>收等智能设备的应用普及和互联互通。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6" w:firstLineChars="200"/>
        <w:jc w:val="both"/>
        <w:textAlignment w:val="baseline"/>
        <w:outlineLvl w:val="2"/>
        <w:rPr>
          <w:rFonts w:ascii="仿宋" w:hAnsi="仿宋" w:eastAsia="仿宋" w:cs="仿宋"/>
          <w:sz w:val="31"/>
          <w:szCs w:val="31"/>
        </w:rPr>
      </w:pPr>
      <w:bookmarkStart w:id="76" w:name="_Toc21918"/>
      <w:r>
        <w:rPr>
          <w:rFonts w:ascii="仿宋" w:hAnsi="仿宋" w:eastAsia="仿宋" w:cs="仿宋"/>
          <w:b/>
          <w:bCs/>
          <w:spacing w:val="6"/>
          <w:sz w:val="31"/>
          <w:szCs w:val="31"/>
        </w:rPr>
        <w:t>3.加快农业信息服务共享平台建设</w:t>
      </w:r>
      <w:bookmarkEnd w:id="76"/>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2" w:firstLineChars="200"/>
        <w:jc w:val="both"/>
        <w:textAlignment w:val="baseline"/>
        <w:rPr>
          <w:rFonts w:ascii="仿宋" w:hAnsi="仿宋" w:eastAsia="仿宋" w:cs="仿宋"/>
          <w:spacing w:val="6"/>
          <w:sz w:val="31"/>
          <w:szCs w:val="31"/>
        </w:rPr>
      </w:pPr>
      <w:r>
        <w:rPr>
          <w:rFonts w:ascii="仿宋" w:hAnsi="仿宋" w:eastAsia="仿宋" w:cs="仿宋"/>
          <w:spacing w:val="8"/>
          <w:sz w:val="31"/>
          <w:szCs w:val="31"/>
        </w:rPr>
        <w:t>以全面推进农业生产经营信息化为主攻方向，以建设互联</w:t>
      </w:r>
      <w:r>
        <w:rPr>
          <w:rFonts w:ascii="仿宋" w:hAnsi="仿宋" w:eastAsia="仿宋" w:cs="仿宋"/>
          <w:spacing w:val="7"/>
          <w:sz w:val="31"/>
          <w:szCs w:val="31"/>
        </w:rPr>
        <w:t>网+现代农业为目标，以组织实施物联网农业示范项目和信</w:t>
      </w:r>
      <w:r>
        <w:rPr>
          <w:rFonts w:ascii="仿宋" w:hAnsi="仿宋" w:eastAsia="仿宋" w:cs="仿宋"/>
          <w:spacing w:val="6"/>
          <w:sz w:val="31"/>
          <w:szCs w:val="31"/>
        </w:rPr>
        <w:t>息进</w:t>
      </w:r>
      <w:r>
        <w:rPr>
          <w:rFonts w:ascii="仿宋" w:hAnsi="仿宋" w:eastAsia="仿宋" w:cs="仿宋"/>
          <w:spacing w:val="10"/>
          <w:sz w:val="31"/>
          <w:szCs w:val="31"/>
        </w:rPr>
        <w:t>村入户试点为突破口，增强互联网在农资供应、技术指导、金</w:t>
      </w:r>
      <w:r>
        <w:rPr>
          <w:rFonts w:ascii="仿宋" w:hAnsi="仿宋" w:eastAsia="仿宋" w:cs="仿宋"/>
          <w:spacing w:val="13"/>
          <w:sz w:val="31"/>
          <w:szCs w:val="31"/>
        </w:rPr>
        <w:t>融服务等方面服务功能，提升农业生产、经营、管理</w:t>
      </w:r>
      <w:r>
        <w:rPr>
          <w:rFonts w:ascii="仿宋" w:hAnsi="仿宋" w:eastAsia="仿宋" w:cs="仿宋"/>
          <w:spacing w:val="12"/>
          <w:sz w:val="31"/>
          <w:szCs w:val="31"/>
        </w:rPr>
        <w:t>和服务水</w:t>
      </w:r>
      <w:r>
        <w:rPr>
          <w:rFonts w:ascii="仿宋" w:hAnsi="仿宋" w:eastAsia="仿宋" w:cs="仿宋"/>
          <w:spacing w:val="9"/>
          <w:sz w:val="31"/>
          <w:szCs w:val="31"/>
        </w:rPr>
        <w:t>平，培育一批网络化、智能化、精细化的现代“种养加”生态</w:t>
      </w:r>
      <w:r>
        <w:rPr>
          <w:rFonts w:ascii="仿宋" w:hAnsi="仿宋" w:eastAsia="仿宋" w:cs="仿宋"/>
          <w:spacing w:val="13"/>
          <w:sz w:val="31"/>
          <w:szCs w:val="31"/>
        </w:rPr>
        <w:t>农业新模式，积极推进农业经营模式和产业体系创新</w:t>
      </w:r>
      <w:r>
        <w:rPr>
          <w:rFonts w:ascii="仿宋" w:hAnsi="仿宋" w:eastAsia="仿宋" w:cs="仿宋"/>
          <w:spacing w:val="12"/>
          <w:sz w:val="31"/>
          <w:szCs w:val="31"/>
        </w:rPr>
        <w:t>。大力发</w:t>
      </w:r>
      <w:r>
        <w:rPr>
          <w:rFonts w:ascii="仿宋" w:hAnsi="仿宋" w:eastAsia="仿宋" w:cs="仿宋"/>
          <w:spacing w:val="13"/>
          <w:sz w:val="31"/>
          <w:szCs w:val="31"/>
        </w:rPr>
        <w:t>展智慧农业，建设市级电子商务运营服务中心，全面</w:t>
      </w:r>
      <w:r>
        <w:rPr>
          <w:rFonts w:ascii="仿宋" w:hAnsi="仿宋" w:eastAsia="仿宋" w:cs="仿宋"/>
          <w:spacing w:val="12"/>
          <w:sz w:val="31"/>
          <w:szCs w:val="31"/>
        </w:rPr>
        <w:t>实施信息</w:t>
      </w:r>
      <w:r>
        <w:rPr>
          <w:rFonts w:ascii="仿宋" w:hAnsi="仿宋" w:eastAsia="仿宋" w:cs="仿宋"/>
          <w:spacing w:val="6"/>
          <w:sz w:val="31"/>
          <w:szCs w:val="31"/>
        </w:rPr>
        <w:t>进村入户工程，提升农村12316信息服务平台功能，完善信息</w:t>
      </w:r>
      <w:r>
        <w:rPr>
          <w:rFonts w:ascii="仿宋" w:hAnsi="仿宋" w:eastAsia="仿宋" w:cs="仿宋"/>
          <w:spacing w:val="13"/>
          <w:sz w:val="31"/>
          <w:szCs w:val="31"/>
        </w:rPr>
        <w:t>终端和服务供给。加快乡村基础设施数字化转型，推</w:t>
      </w:r>
      <w:r>
        <w:rPr>
          <w:rFonts w:ascii="仿宋" w:hAnsi="仿宋" w:eastAsia="仿宋" w:cs="仿宋"/>
          <w:spacing w:val="12"/>
          <w:sz w:val="31"/>
          <w:szCs w:val="31"/>
        </w:rPr>
        <w:t>进智慧农业、智慧水利、智慧物流、智慧电网等建设。推进乡村教育信</w:t>
      </w:r>
      <w:r>
        <w:rPr>
          <w:rFonts w:ascii="仿宋" w:hAnsi="仿宋" w:eastAsia="仿宋" w:cs="仿宋"/>
          <w:spacing w:val="6"/>
          <w:sz w:val="31"/>
          <w:szCs w:val="31"/>
        </w:rPr>
        <w:t>息化、完善民生保障信息服务。</w:t>
      </w:r>
    </w:p>
    <w:p>
      <w:pPr>
        <w:pStyle w:val="2"/>
        <w:keepNext w:val="0"/>
        <w:keepLines w:val="0"/>
        <w:pageBreakBefore w:val="0"/>
        <w:widowControl w:val="0"/>
        <w:kinsoku/>
        <w:wordWrap/>
        <w:overflowPunct w:val="0"/>
        <w:topLinePunct w:val="0"/>
        <w:bidi w:val="0"/>
        <w:jc w:val="both"/>
        <w:rPr>
          <w:rFonts w:ascii="仿宋" w:hAnsi="仿宋" w:eastAsia="仿宋" w:cs="仿宋"/>
          <w:spacing w:val="6"/>
          <w:sz w:val="31"/>
          <w:szCs w:val="31"/>
        </w:rPr>
      </w:pPr>
    </w:p>
    <w:p>
      <w:pPr>
        <w:pStyle w:val="2"/>
        <w:keepNext w:val="0"/>
        <w:keepLines w:val="0"/>
        <w:pageBreakBefore w:val="0"/>
        <w:widowControl w:val="0"/>
        <w:kinsoku/>
        <w:wordWrap/>
        <w:overflowPunct w:val="0"/>
        <w:topLinePunct w:val="0"/>
        <w:bidi w:val="0"/>
        <w:jc w:val="both"/>
        <w:rPr>
          <w:rFonts w:ascii="仿宋" w:hAnsi="仿宋" w:eastAsia="仿宋" w:cs="仿宋"/>
          <w:spacing w:val="6"/>
          <w:sz w:val="31"/>
          <w:szCs w:val="31"/>
        </w:rPr>
      </w:pPr>
    </w:p>
    <w:p>
      <w:pPr>
        <w:pStyle w:val="2"/>
        <w:keepNext w:val="0"/>
        <w:keepLines w:val="0"/>
        <w:pageBreakBefore w:val="0"/>
        <w:widowControl w:val="0"/>
        <w:kinsoku/>
        <w:wordWrap/>
        <w:overflowPunct w:val="0"/>
        <w:topLinePunct w:val="0"/>
        <w:bidi w:val="0"/>
        <w:jc w:val="both"/>
        <w:rPr>
          <w:rFonts w:ascii="仿宋" w:hAnsi="仿宋" w:eastAsia="仿宋" w:cs="仿宋"/>
          <w:spacing w:val="6"/>
          <w:sz w:val="31"/>
          <w:szCs w:val="31"/>
        </w:rPr>
      </w:pPr>
    </w:p>
    <w:p>
      <w:pPr>
        <w:keepNext w:val="0"/>
        <w:keepLines w:val="0"/>
        <w:pageBreakBefore w:val="0"/>
        <w:widowControl w:val="0"/>
        <w:kinsoku/>
        <w:wordWrap/>
        <w:overflowPunct w:val="0"/>
        <w:topLinePunct w:val="0"/>
        <w:bidi w:val="0"/>
        <w:adjustRightInd w:val="0"/>
        <w:snapToGrid w:val="0"/>
        <w:spacing w:before="312" w:beforeLines="100" w:line="360" w:lineRule="auto"/>
        <w:ind w:firstLine="643"/>
        <w:jc w:val="center"/>
        <w:outlineLvl w:val="1"/>
        <w:rPr>
          <w:rFonts w:cs="仿宋"/>
          <w:b/>
          <w:color w:val="000000"/>
          <w:sz w:val="24"/>
          <w:szCs w:val="24"/>
        </w:rPr>
      </w:pPr>
      <w:bookmarkStart w:id="77" w:name="bookmark37"/>
      <w:bookmarkEnd w:id="77"/>
      <w:bookmarkStart w:id="78" w:name="_Toc1283"/>
      <w:r>
        <w:rPr>
          <w:rFonts w:hint="eastAsia" w:cs="仿宋"/>
          <w:b/>
          <w:color w:val="000000"/>
          <w:sz w:val="24"/>
          <w:szCs w:val="24"/>
        </w:rPr>
        <w:t>专栏7</w:t>
      </w:r>
      <w:r>
        <w:rPr>
          <w:rFonts w:hint="eastAsia" w:eastAsia="宋体" w:cs="仿宋"/>
          <w:b/>
          <w:color w:val="000000"/>
          <w:sz w:val="24"/>
          <w:szCs w:val="24"/>
          <w:lang w:val="en-US" w:eastAsia="zh-CN"/>
        </w:rPr>
        <w:t xml:space="preserve"> </w:t>
      </w:r>
      <w:r>
        <w:rPr>
          <w:rFonts w:hint="eastAsia" w:cs="仿宋"/>
          <w:b/>
          <w:color w:val="000000"/>
          <w:sz w:val="24"/>
          <w:szCs w:val="24"/>
        </w:rPr>
        <w:t>农业数字化重点项目</w:t>
      </w:r>
      <w:bookmarkEnd w:id="78"/>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241" w:type="dxa"/>
            <w:noWrap w:val="0"/>
            <w:vAlign w:val="top"/>
          </w:tcPr>
          <w:p>
            <w:pPr>
              <w:keepNext w:val="0"/>
              <w:keepLines w:val="0"/>
              <w:pageBreakBefore w:val="0"/>
              <w:widowControl w:val="0"/>
              <w:kinsoku/>
              <w:wordWrap/>
              <w:overflowPunct w:val="0"/>
              <w:topLinePunct w:val="0"/>
              <w:bidi w:val="0"/>
              <w:spacing w:line="360" w:lineRule="auto"/>
              <w:ind w:firstLine="560"/>
              <w:jc w:val="both"/>
              <w:rPr>
                <w:rFonts w:hint="eastAsia" w:cs="仿宋"/>
                <w:b/>
                <w:bCs/>
                <w:sz w:val="24"/>
                <w:szCs w:val="24"/>
              </w:rPr>
            </w:pPr>
            <w:r>
              <w:rPr>
                <w:rFonts w:hint="eastAsia" w:cs="仿宋"/>
                <w:b/>
                <w:bCs/>
                <w:sz w:val="24"/>
                <w:szCs w:val="24"/>
              </w:rPr>
              <w:t>1.双辽市创业联盟协会可追溯智慧农业平台</w:t>
            </w:r>
          </w:p>
          <w:p>
            <w:pPr>
              <w:keepNext w:val="0"/>
              <w:keepLines w:val="0"/>
              <w:pageBreakBefore w:val="0"/>
              <w:widowControl w:val="0"/>
              <w:kinsoku/>
              <w:wordWrap/>
              <w:overflowPunct w:val="0"/>
              <w:topLinePunct w:val="0"/>
              <w:bidi w:val="0"/>
              <w:spacing w:line="360" w:lineRule="auto"/>
              <w:ind w:firstLine="560"/>
              <w:jc w:val="both"/>
              <w:rPr>
                <w:rFonts w:hint="eastAsia" w:cs="仿宋"/>
                <w:sz w:val="24"/>
                <w:szCs w:val="24"/>
              </w:rPr>
            </w:pPr>
            <w:r>
              <w:rPr>
                <w:rFonts w:hint="eastAsia" w:cs="仿宋"/>
                <w:sz w:val="24"/>
                <w:szCs w:val="24"/>
              </w:rPr>
              <w:t>总投资400万元，在双辽市柳条乡清沟村建设可追溯智慧农业平台，主要完成产品的品种、应用技术、农药、肥料等信息的追溯。</w:t>
            </w:r>
          </w:p>
          <w:p>
            <w:pPr>
              <w:keepNext w:val="0"/>
              <w:keepLines w:val="0"/>
              <w:pageBreakBefore w:val="0"/>
              <w:widowControl w:val="0"/>
              <w:kinsoku/>
              <w:wordWrap/>
              <w:overflowPunct w:val="0"/>
              <w:topLinePunct w:val="0"/>
              <w:bidi w:val="0"/>
              <w:spacing w:line="360" w:lineRule="auto"/>
              <w:ind w:firstLine="560"/>
              <w:jc w:val="both"/>
              <w:rPr>
                <w:rFonts w:hint="eastAsia" w:cs="仿宋"/>
                <w:b/>
                <w:bCs/>
                <w:sz w:val="24"/>
                <w:szCs w:val="24"/>
              </w:rPr>
            </w:pPr>
            <w:r>
              <w:rPr>
                <w:rFonts w:hint="eastAsia" w:cs="仿宋"/>
                <w:b/>
                <w:bCs/>
                <w:sz w:val="24"/>
                <w:szCs w:val="24"/>
              </w:rPr>
              <w:t>2.协同创新项目（校企联合科研中心项目）</w:t>
            </w:r>
          </w:p>
          <w:p>
            <w:pPr>
              <w:keepNext w:val="0"/>
              <w:keepLines w:val="0"/>
              <w:pageBreakBefore w:val="0"/>
              <w:widowControl w:val="0"/>
              <w:kinsoku/>
              <w:wordWrap/>
              <w:overflowPunct w:val="0"/>
              <w:topLinePunct w:val="0"/>
              <w:bidi w:val="0"/>
              <w:spacing w:line="360" w:lineRule="auto"/>
              <w:ind w:firstLine="560"/>
              <w:jc w:val="both"/>
              <w:rPr>
                <w:rFonts w:hint="eastAsia" w:eastAsia="仿宋" w:cs="仿宋"/>
                <w:sz w:val="24"/>
                <w:szCs w:val="24"/>
                <w:lang w:eastAsia="zh-CN"/>
              </w:rPr>
            </w:pPr>
            <w:r>
              <w:rPr>
                <w:rFonts w:hint="eastAsia" w:cs="仿宋"/>
                <w:sz w:val="24"/>
                <w:szCs w:val="24"/>
              </w:rPr>
              <w:t>总投资6000万元，与吉林农业大学联合成立“吉农沃亿佳农业科技研发中心”，设立产品研发基金，重点开展各种新型肥料研发和农业生态类高新产品的研发及生产</w:t>
            </w:r>
            <w:r>
              <w:rPr>
                <w:rFonts w:hint="eastAsia" w:cs="仿宋"/>
                <w:sz w:val="24"/>
                <w:szCs w:val="24"/>
                <w:lang w:eastAsia="zh-CN"/>
              </w:rPr>
              <w:t>。</w:t>
            </w:r>
          </w:p>
          <w:p>
            <w:pPr>
              <w:keepNext w:val="0"/>
              <w:keepLines w:val="0"/>
              <w:pageBreakBefore w:val="0"/>
              <w:widowControl w:val="0"/>
              <w:kinsoku/>
              <w:wordWrap/>
              <w:overflowPunct w:val="0"/>
              <w:topLinePunct w:val="0"/>
              <w:bidi w:val="0"/>
              <w:spacing w:line="360" w:lineRule="auto"/>
              <w:ind w:firstLine="560"/>
              <w:jc w:val="both"/>
              <w:rPr>
                <w:rFonts w:hint="eastAsia" w:cs="仿宋"/>
                <w:b/>
                <w:bCs/>
                <w:sz w:val="24"/>
                <w:szCs w:val="24"/>
                <w:lang w:val="en-US" w:eastAsia="zh-CN"/>
              </w:rPr>
            </w:pPr>
            <w:r>
              <w:rPr>
                <w:rFonts w:hint="eastAsia" w:cs="仿宋"/>
                <w:b/>
                <w:bCs/>
                <w:sz w:val="24"/>
                <w:szCs w:val="24"/>
                <w:highlight w:val="none"/>
              </w:rPr>
              <w:t>3.</w:t>
            </w:r>
            <w:r>
              <w:rPr>
                <w:rFonts w:hint="eastAsia" w:cs="仿宋"/>
                <w:b/>
                <w:bCs/>
                <w:sz w:val="24"/>
                <w:szCs w:val="24"/>
                <w:lang w:val="en-US" w:eastAsia="zh-CN"/>
              </w:rPr>
              <w:t>双辽市双英花生5万亩原种繁育基地建设和花生品种改良科技创新中心建设项目</w:t>
            </w:r>
          </w:p>
          <w:p>
            <w:pPr>
              <w:pStyle w:val="12"/>
              <w:keepNext w:val="0"/>
              <w:keepLines w:val="0"/>
              <w:pageBreakBefore w:val="0"/>
              <w:widowControl w:val="0"/>
              <w:tabs>
                <w:tab w:val="right" w:leader="dot" w:pos="8306"/>
              </w:tabs>
              <w:kinsoku/>
              <w:wordWrap/>
              <w:overflowPunct w:val="0"/>
              <w:topLinePunct w:val="0"/>
              <w:bidi w:val="0"/>
              <w:spacing w:line="360" w:lineRule="auto"/>
              <w:ind w:firstLine="480" w:firstLineChars="200"/>
              <w:jc w:val="both"/>
              <w:rPr>
                <w:rFonts w:hint="eastAsia" w:cs="仿宋"/>
                <w:b/>
                <w:bCs/>
                <w:sz w:val="24"/>
                <w:szCs w:val="24"/>
                <w:lang w:val="en-US" w:eastAsia="zh-CN"/>
              </w:rPr>
            </w:pPr>
            <w:r>
              <w:rPr>
                <w:rFonts w:hint="eastAsia" w:ascii="Arial" w:hAnsi="Arial" w:eastAsia="Arial" w:cs="仿宋"/>
                <w:snapToGrid w:val="0"/>
                <w:color w:val="000000"/>
                <w:kern w:val="0"/>
                <w:sz w:val="24"/>
                <w:szCs w:val="24"/>
                <w:lang w:val="en-US" w:eastAsia="zh-CN" w:bidi="ar-SA"/>
              </w:rPr>
              <w:t>通过建设花生原种繁育基地和花生品种改良科技创新中心，优先解决当前吉林省花生产业发展中存在的品种混杂退化，专特用花生品种的品质不高、数量不足，良种繁育效益低、标准栽培技术规范缺失等瓶颈问题，助力吉林省花生产业发展，通过产学研深度融合，助力吉林省花生产业人才培养和科研创新能力提升。</w:t>
            </w:r>
          </w:p>
          <w:p>
            <w:pPr>
              <w:keepNext w:val="0"/>
              <w:keepLines w:val="0"/>
              <w:pageBreakBefore w:val="0"/>
              <w:widowControl w:val="0"/>
              <w:kinsoku/>
              <w:wordWrap/>
              <w:overflowPunct w:val="0"/>
              <w:topLinePunct w:val="0"/>
              <w:bidi w:val="0"/>
              <w:spacing w:line="360" w:lineRule="auto"/>
              <w:ind w:firstLine="560"/>
              <w:jc w:val="both"/>
              <w:rPr>
                <w:rFonts w:hint="eastAsia" w:cs="仿宋"/>
                <w:b/>
                <w:bCs/>
                <w:sz w:val="24"/>
                <w:szCs w:val="24"/>
                <w:lang w:val="en-US" w:eastAsia="zh-CN"/>
              </w:rPr>
            </w:pPr>
            <w:r>
              <w:rPr>
                <w:rFonts w:hint="eastAsia" w:cs="仿宋"/>
                <w:b/>
                <w:bCs/>
                <w:sz w:val="24"/>
                <w:szCs w:val="24"/>
                <w:lang w:val="en-US" w:eastAsia="zh-CN"/>
              </w:rPr>
              <w:t>4.高素质农民培育项目</w:t>
            </w:r>
          </w:p>
          <w:p>
            <w:pPr>
              <w:keepNext w:val="0"/>
              <w:keepLines w:val="0"/>
              <w:pageBreakBefore w:val="0"/>
              <w:widowControl w:val="0"/>
              <w:kinsoku/>
              <w:wordWrap/>
              <w:overflowPunct w:val="0"/>
              <w:topLinePunct w:val="0"/>
              <w:bidi w:val="0"/>
              <w:spacing w:line="360" w:lineRule="auto"/>
              <w:ind w:firstLine="560"/>
              <w:jc w:val="both"/>
              <w:rPr>
                <w:rFonts w:hint="eastAsia" w:cs="仿宋"/>
                <w:sz w:val="24"/>
                <w:szCs w:val="24"/>
              </w:rPr>
            </w:pPr>
            <w:r>
              <w:rPr>
                <w:rFonts w:hint="eastAsia" w:cs="仿宋"/>
                <w:sz w:val="24"/>
                <w:szCs w:val="24"/>
              </w:rPr>
              <w:t>每年投资160万元以上，培训总人数600人以上。主要用于大豆油料扩种专项培训、产业带头人专项培训（省级乡村振兴帮扶县）、农机手职业能力提升专项培训、东北黑土地保护专项培训，每个行政村至少培训1个以上农业科技示范主体。</w:t>
            </w:r>
          </w:p>
          <w:p>
            <w:pPr>
              <w:keepNext w:val="0"/>
              <w:keepLines w:val="0"/>
              <w:pageBreakBefore w:val="0"/>
              <w:widowControl w:val="0"/>
              <w:kinsoku/>
              <w:wordWrap/>
              <w:overflowPunct w:val="0"/>
              <w:topLinePunct w:val="0"/>
              <w:bidi w:val="0"/>
              <w:spacing w:line="360" w:lineRule="auto"/>
              <w:ind w:firstLine="560"/>
              <w:jc w:val="both"/>
              <w:rPr>
                <w:rFonts w:hint="default" w:cs="仿宋"/>
                <w:b/>
                <w:bCs/>
                <w:sz w:val="24"/>
                <w:szCs w:val="24"/>
                <w:lang w:val="en-US" w:eastAsia="zh-CN"/>
              </w:rPr>
            </w:pPr>
            <w:r>
              <w:rPr>
                <w:rFonts w:hint="eastAsia" w:cs="仿宋"/>
                <w:b/>
                <w:bCs/>
                <w:sz w:val="24"/>
                <w:szCs w:val="24"/>
                <w:lang w:val="en-US" w:eastAsia="zh-CN"/>
              </w:rPr>
              <w:t>5.农业社会化服务项目</w:t>
            </w:r>
          </w:p>
          <w:p>
            <w:pPr>
              <w:keepNext w:val="0"/>
              <w:keepLines w:val="0"/>
              <w:pageBreakBefore w:val="0"/>
              <w:widowControl w:val="0"/>
              <w:kinsoku/>
              <w:wordWrap/>
              <w:overflowPunct w:val="0"/>
              <w:topLinePunct w:val="0"/>
              <w:bidi w:val="0"/>
              <w:spacing w:line="360" w:lineRule="auto"/>
              <w:ind w:firstLine="560"/>
              <w:jc w:val="both"/>
              <w:rPr>
                <w:rFonts w:hint="eastAsia" w:cs="仿宋"/>
                <w:b w:val="0"/>
                <w:bCs w:val="0"/>
                <w:sz w:val="24"/>
                <w:szCs w:val="24"/>
                <w:lang w:val="en-US" w:eastAsia="zh-CN"/>
              </w:rPr>
            </w:pPr>
            <w:r>
              <w:rPr>
                <w:rFonts w:hint="eastAsia" w:cs="仿宋"/>
                <w:b w:val="0"/>
                <w:bCs w:val="0"/>
                <w:sz w:val="24"/>
                <w:szCs w:val="24"/>
                <w:lang w:val="en-US" w:eastAsia="zh-CN"/>
              </w:rPr>
              <w:t>项目总投资</w:t>
            </w:r>
            <w:r>
              <w:rPr>
                <w:rFonts w:hint="default" w:cs="仿宋"/>
                <w:b w:val="0"/>
                <w:bCs w:val="0"/>
                <w:sz w:val="24"/>
                <w:szCs w:val="24"/>
                <w:lang w:val="en-US" w:eastAsia="zh-CN"/>
              </w:rPr>
              <w:t>2234.43</w:t>
            </w:r>
            <w:r>
              <w:rPr>
                <w:rFonts w:hint="eastAsia" w:cs="仿宋"/>
                <w:b w:val="0"/>
                <w:bCs w:val="0"/>
                <w:sz w:val="24"/>
                <w:szCs w:val="24"/>
                <w:lang w:val="en-US" w:eastAsia="zh-CN"/>
              </w:rPr>
              <w:t>万元，稳步推进</w:t>
            </w:r>
            <w:r>
              <w:rPr>
                <w:rFonts w:hint="eastAsia" w:cs="仿宋"/>
                <w:b w:val="0"/>
                <w:bCs w:val="0"/>
                <w:sz w:val="24"/>
                <w:szCs w:val="24"/>
                <w:lang w:val="en-US" w:eastAsia="en-US"/>
              </w:rPr>
              <w:t>农业生产托管</w:t>
            </w:r>
            <w:r>
              <w:rPr>
                <w:rFonts w:hint="eastAsia" w:cs="仿宋"/>
                <w:b w:val="0"/>
                <w:bCs w:val="0"/>
                <w:sz w:val="24"/>
                <w:szCs w:val="24"/>
                <w:lang w:val="en-US" w:eastAsia="zh-CN"/>
              </w:rPr>
              <w:t>，</w:t>
            </w:r>
            <w:r>
              <w:rPr>
                <w:rFonts w:hint="eastAsia" w:cs="仿宋"/>
                <w:b w:val="0"/>
                <w:bCs w:val="0"/>
                <w:sz w:val="24"/>
                <w:szCs w:val="24"/>
                <w:lang w:val="en-US" w:eastAsia="en-US"/>
              </w:rPr>
              <w:t>提高服务小农户面积和服务规模经营水平，满足新型农业经营主体和小农户对农业社会化服务的需求</w:t>
            </w:r>
            <w:r>
              <w:rPr>
                <w:rFonts w:hint="eastAsia" w:cs="仿宋"/>
                <w:b w:val="0"/>
                <w:bCs w:val="0"/>
                <w:sz w:val="24"/>
                <w:szCs w:val="24"/>
                <w:lang w:val="en-US" w:eastAsia="zh-CN"/>
              </w:rPr>
              <w:t>。</w:t>
            </w:r>
          </w:p>
          <w:p>
            <w:pPr>
              <w:pStyle w:val="2"/>
              <w:keepNext w:val="0"/>
              <w:keepLines w:val="0"/>
              <w:pageBreakBefore w:val="0"/>
              <w:widowControl w:val="0"/>
              <w:kinsoku/>
              <w:wordWrap/>
              <w:overflowPunct w:val="0"/>
              <w:topLinePunct w:val="0"/>
              <w:bidi w:val="0"/>
              <w:jc w:val="both"/>
              <w:rPr>
                <w:rFonts w:hint="eastAsia"/>
              </w:rPr>
            </w:pPr>
          </w:p>
          <w:p>
            <w:pPr>
              <w:pStyle w:val="2"/>
              <w:keepNext w:val="0"/>
              <w:keepLines w:val="0"/>
              <w:pageBreakBefore w:val="0"/>
              <w:widowControl w:val="0"/>
              <w:kinsoku/>
              <w:wordWrap/>
              <w:overflowPunct w:val="0"/>
              <w:topLinePunct w:val="0"/>
              <w:bidi w:val="0"/>
              <w:jc w:val="both"/>
              <w:rPr>
                <w:rFonts w:hint="eastAsia"/>
              </w:rPr>
            </w:pPr>
          </w:p>
        </w:tc>
      </w:tr>
    </w:tbl>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79" w:name="_Toc14163"/>
      <w:r>
        <w:rPr>
          <w:rFonts w:ascii="楷体" w:hAnsi="楷体" w:eastAsia="楷体" w:cs="楷体"/>
          <w:spacing w:val="0"/>
          <w:sz w:val="32"/>
          <w:szCs w:val="32"/>
        </w:rPr>
        <w:t>（八）建设宜居宜业美丽乡村</w:t>
      </w:r>
      <w:bookmarkEnd w:id="79"/>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56" w:firstLineChars="200"/>
        <w:jc w:val="both"/>
        <w:textAlignment w:val="baseline"/>
        <w:rPr>
          <w:rFonts w:ascii="仿宋" w:hAnsi="仿宋" w:eastAsia="仿宋" w:cs="仿宋"/>
          <w:sz w:val="31"/>
          <w:szCs w:val="31"/>
        </w:rPr>
      </w:pPr>
      <w:r>
        <w:rPr>
          <w:rFonts w:ascii="仿宋" w:hAnsi="仿宋" w:eastAsia="仿宋" w:cs="仿宋"/>
          <w:spacing w:val="9"/>
          <w:sz w:val="31"/>
          <w:szCs w:val="31"/>
        </w:rPr>
        <w:t>围绕产业兴旺、生态宜居、乡风文明、治理有效、生</w:t>
      </w:r>
      <w:r>
        <w:rPr>
          <w:rFonts w:ascii="仿宋" w:hAnsi="仿宋" w:eastAsia="仿宋" w:cs="仿宋"/>
          <w:spacing w:val="8"/>
          <w:sz w:val="31"/>
          <w:szCs w:val="31"/>
        </w:rPr>
        <w:t>活富</w:t>
      </w:r>
      <w:r>
        <w:rPr>
          <w:rFonts w:ascii="仿宋" w:hAnsi="仿宋" w:eastAsia="仿宋" w:cs="仿宋"/>
          <w:spacing w:val="13"/>
          <w:sz w:val="31"/>
          <w:szCs w:val="31"/>
        </w:rPr>
        <w:t>裕总要求，全面实施乡村建设行动，大力推进公共</w:t>
      </w:r>
      <w:r>
        <w:rPr>
          <w:rFonts w:ascii="仿宋" w:hAnsi="仿宋" w:eastAsia="仿宋" w:cs="仿宋"/>
          <w:spacing w:val="12"/>
          <w:sz w:val="31"/>
          <w:szCs w:val="31"/>
        </w:rPr>
        <w:t>服务、基础</w:t>
      </w:r>
      <w:r>
        <w:rPr>
          <w:rFonts w:ascii="仿宋" w:hAnsi="仿宋" w:eastAsia="仿宋" w:cs="仿宋"/>
          <w:spacing w:val="13"/>
          <w:sz w:val="31"/>
          <w:szCs w:val="31"/>
        </w:rPr>
        <w:t>设施向郊区农村延伸，实现农村人居环境全域改善，</w:t>
      </w:r>
      <w:r>
        <w:rPr>
          <w:rFonts w:ascii="仿宋" w:hAnsi="仿宋" w:eastAsia="仿宋" w:cs="仿宋"/>
          <w:spacing w:val="12"/>
          <w:sz w:val="31"/>
          <w:szCs w:val="31"/>
        </w:rPr>
        <w:t>努力建设宜居宜业、幸福和谐的农村美丽家园。到2025年，创建省级绿</w:t>
      </w:r>
      <w:r>
        <w:rPr>
          <w:rFonts w:ascii="仿宋" w:hAnsi="仿宋" w:eastAsia="仿宋" w:cs="仿宋"/>
          <w:spacing w:val="10"/>
          <w:sz w:val="31"/>
          <w:szCs w:val="31"/>
        </w:rPr>
        <w:t>美示范村屯28个，美丽庭院18300户、干净人家42210户，人居环境整治提升创建示范村158个，累计创建“千村</w:t>
      </w:r>
      <w:r>
        <w:rPr>
          <w:rFonts w:ascii="仿宋" w:hAnsi="仿宋" w:eastAsia="仿宋" w:cs="仿宋"/>
          <w:spacing w:val="9"/>
          <w:sz w:val="31"/>
          <w:szCs w:val="31"/>
        </w:rPr>
        <w:t>示范”村139</w:t>
      </w:r>
      <w:r>
        <w:rPr>
          <w:rFonts w:ascii="仿宋" w:hAnsi="仿宋" w:eastAsia="仿宋" w:cs="仿宋"/>
          <w:spacing w:val="7"/>
          <w:sz w:val="31"/>
          <w:szCs w:val="31"/>
        </w:rPr>
        <w:t>个、绿化精品村35个。</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38" w:firstLineChars="200"/>
        <w:jc w:val="both"/>
        <w:textAlignment w:val="baseline"/>
        <w:outlineLvl w:val="2"/>
        <w:rPr>
          <w:rFonts w:ascii="仿宋" w:hAnsi="仿宋" w:eastAsia="仿宋" w:cs="仿宋"/>
          <w:sz w:val="31"/>
          <w:szCs w:val="31"/>
        </w:rPr>
      </w:pPr>
      <w:bookmarkStart w:id="80" w:name="_Toc9559"/>
      <w:r>
        <w:rPr>
          <w:rFonts w:ascii="仿宋" w:hAnsi="仿宋" w:eastAsia="仿宋" w:cs="仿宋"/>
          <w:b/>
          <w:bCs/>
          <w:spacing w:val="4"/>
          <w:sz w:val="31"/>
          <w:szCs w:val="31"/>
        </w:rPr>
        <w:t>1.推进农村人居环境整治提升</w:t>
      </w:r>
      <w:bookmarkEnd w:id="80"/>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32" w:firstLineChars="200"/>
        <w:jc w:val="both"/>
        <w:textAlignment w:val="baseline"/>
        <w:rPr>
          <w:rFonts w:ascii="仿宋" w:hAnsi="仿宋" w:eastAsia="仿宋" w:cs="仿宋"/>
          <w:sz w:val="31"/>
          <w:szCs w:val="31"/>
        </w:rPr>
      </w:pPr>
      <w:r>
        <w:rPr>
          <w:rFonts w:ascii="仿宋" w:hAnsi="仿宋" w:eastAsia="仿宋" w:cs="仿宋"/>
          <w:spacing w:val="3"/>
          <w:sz w:val="31"/>
          <w:szCs w:val="31"/>
        </w:rPr>
        <w:t>持续推进“美丽乡村”、“千村示范”创建，支持村民投</w:t>
      </w:r>
      <w:r>
        <w:rPr>
          <w:rFonts w:ascii="仿宋" w:hAnsi="仿宋" w:eastAsia="仿宋" w:cs="仿宋"/>
          <w:spacing w:val="4"/>
          <w:sz w:val="31"/>
          <w:szCs w:val="31"/>
        </w:rPr>
        <w:t>工投劳参与美丽乡村建设，拆除房前屋后及村庄周边简易搭盖，</w:t>
      </w:r>
      <w:r>
        <w:rPr>
          <w:rFonts w:ascii="仿宋" w:hAnsi="仿宋" w:eastAsia="仿宋" w:cs="仿宋"/>
          <w:spacing w:val="6"/>
          <w:sz w:val="31"/>
          <w:szCs w:val="31"/>
        </w:rPr>
        <w:t>加强房前屋后、村道两侧绿化美化。由屯屯干净向户户干净延</w:t>
      </w:r>
      <w:r>
        <w:rPr>
          <w:rFonts w:ascii="仿宋" w:hAnsi="仿宋" w:eastAsia="仿宋" w:cs="仿宋"/>
          <w:spacing w:val="4"/>
          <w:sz w:val="31"/>
          <w:szCs w:val="31"/>
        </w:rPr>
        <w:t>伸，推动村庄整体面貌全面提升。加快推进“五清一改一建”，</w:t>
      </w:r>
      <w:r>
        <w:rPr>
          <w:rFonts w:ascii="仿宋" w:hAnsi="仿宋" w:eastAsia="仿宋" w:cs="仿宋"/>
          <w:spacing w:val="9"/>
          <w:sz w:val="31"/>
          <w:szCs w:val="31"/>
        </w:rPr>
        <w:t>以农村“厕所革命”和农村生活垃圾分类无害化处理为抓手，</w:t>
      </w:r>
      <w:r>
        <w:rPr>
          <w:rFonts w:ascii="仿宋" w:hAnsi="仿宋" w:eastAsia="仿宋" w:cs="仿宋"/>
          <w:spacing w:val="8"/>
          <w:sz w:val="31"/>
          <w:szCs w:val="31"/>
        </w:rPr>
        <w:t>着力破解“脏乱差”等乡村环境顽疾，建立健全日常</w:t>
      </w:r>
      <w:r>
        <w:rPr>
          <w:rFonts w:ascii="仿宋" w:hAnsi="仿宋" w:eastAsia="仿宋" w:cs="仿宋"/>
          <w:spacing w:val="7"/>
          <w:sz w:val="31"/>
          <w:szCs w:val="31"/>
        </w:rPr>
        <w:t>巡检、设</w:t>
      </w:r>
      <w:r>
        <w:rPr>
          <w:rFonts w:ascii="仿宋" w:hAnsi="仿宋" w:eastAsia="仿宋" w:cs="仿宋"/>
          <w:spacing w:val="10"/>
          <w:sz w:val="31"/>
          <w:szCs w:val="31"/>
        </w:rPr>
        <w:t>备维修和粪污清掏等管护体系，推动农村厕所粪</w:t>
      </w:r>
      <w:r>
        <w:rPr>
          <w:rFonts w:ascii="仿宋" w:hAnsi="仿宋" w:eastAsia="仿宋" w:cs="仿宋"/>
          <w:spacing w:val="9"/>
          <w:sz w:val="31"/>
          <w:szCs w:val="31"/>
        </w:rPr>
        <w:t>污就地就近资</w:t>
      </w:r>
      <w:r>
        <w:rPr>
          <w:rFonts w:ascii="仿宋" w:hAnsi="仿宋" w:eastAsia="仿宋" w:cs="仿宋"/>
          <w:spacing w:val="10"/>
          <w:sz w:val="31"/>
          <w:szCs w:val="31"/>
        </w:rPr>
        <w:t>源化利用，全面推进百村（村屯）容貌整治。完</w:t>
      </w:r>
      <w:r>
        <w:rPr>
          <w:rFonts w:ascii="仿宋" w:hAnsi="仿宋" w:eastAsia="仿宋" w:cs="仿宋"/>
          <w:spacing w:val="9"/>
          <w:sz w:val="31"/>
          <w:szCs w:val="31"/>
        </w:rPr>
        <w:t>善农村污水管</w:t>
      </w:r>
      <w:r>
        <w:rPr>
          <w:rFonts w:ascii="仿宋" w:hAnsi="仿宋" w:eastAsia="仿宋" w:cs="仿宋"/>
          <w:spacing w:val="11"/>
          <w:sz w:val="31"/>
          <w:szCs w:val="31"/>
        </w:rPr>
        <w:t>网和处理设施建设改造，推进建制镇污水处理设施平稳运行，</w:t>
      </w:r>
      <w:r>
        <w:rPr>
          <w:rFonts w:ascii="仿宋" w:hAnsi="仿宋" w:eastAsia="仿宋" w:cs="仿宋"/>
          <w:spacing w:val="10"/>
          <w:sz w:val="31"/>
          <w:szCs w:val="31"/>
        </w:rPr>
        <w:t>形成成熟规范、易于推广的农村污水治理模式。</w:t>
      </w:r>
      <w:r>
        <w:rPr>
          <w:rFonts w:ascii="仿宋" w:hAnsi="仿宋" w:eastAsia="仿宋" w:cs="仿宋"/>
          <w:spacing w:val="9"/>
          <w:sz w:val="31"/>
          <w:szCs w:val="31"/>
        </w:rPr>
        <w:t>在茂林镇、卧</w:t>
      </w:r>
      <w:r>
        <w:rPr>
          <w:rFonts w:ascii="仿宋" w:hAnsi="仿宋" w:eastAsia="仿宋" w:cs="仿宋"/>
          <w:spacing w:val="10"/>
          <w:sz w:val="31"/>
          <w:szCs w:val="31"/>
        </w:rPr>
        <w:t>虎镇、王奔镇和双山镇开展雨污管网建设和改造</w:t>
      </w:r>
      <w:r>
        <w:rPr>
          <w:rFonts w:ascii="仿宋" w:hAnsi="仿宋" w:eastAsia="仿宋" w:cs="仿宋"/>
          <w:spacing w:val="9"/>
          <w:sz w:val="31"/>
          <w:szCs w:val="31"/>
        </w:rPr>
        <w:t>工程、建设完善污水处理厂（站</w:t>
      </w:r>
      <w:r>
        <w:rPr>
          <w:rFonts w:ascii="仿宋" w:hAnsi="仿宋" w:eastAsia="仿宋" w:cs="仿宋"/>
          <w:spacing w:val="19"/>
          <w:sz w:val="31"/>
          <w:szCs w:val="31"/>
        </w:rPr>
        <w:t>），</w:t>
      </w:r>
      <w:r>
        <w:rPr>
          <w:rFonts w:ascii="仿宋" w:hAnsi="仿宋" w:eastAsia="仿宋" w:cs="仿宋"/>
          <w:spacing w:val="9"/>
          <w:sz w:val="31"/>
          <w:szCs w:val="31"/>
        </w:rPr>
        <w:t>其他建制镇推进生活污水治理二期工程</w:t>
      </w:r>
      <w:r>
        <w:rPr>
          <w:rFonts w:ascii="仿宋" w:hAnsi="仿宋" w:eastAsia="仿宋" w:cs="仿宋"/>
          <w:spacing w:val="10"/>
          <w:sz w:val="31"/>
          <w:szCs w:val="31"/>
        </w:rPr>
        <w:t>项目建设</w:t>
      </w:r>
      <w:r>
        <w:rPr>
          <w:rFonts w:hint="eastAsia" w:ascii="仿宋" w:hAnsi="仿宋" w:eastAsia="仿宋" w:cs="仿宋"/>
          <w:spacing w:val="10"/>
          <w:sz w:val="31"/>
          <w:szCs w:val="31"/>
          <w:lang w:eastAsia="zh-CN"/>
        </w:rPr>
        <w:t>；</w:t>
      </w:r>
      <w:r>
        <w:rPr>
          <w:rFonts w:ascii="仿宋" w:hAnsi="仿宋" w:eastAsia="仿宋" w:cs="仿宋"/>
          <w:spacing w:val="10"/>
          <w:sz w:val="31"/>
          <w:szCs w:val="31"/>
        </w:rPr>
        <w:t>在柳条乡、新立乡、那木乡、永加乡</w:t>
      </w:r>
      <w:r>
        <w:rPr>
          <w:rFonts w:ascii="仿宋" w:hAnsi="仿宋" w:eastAsia="仿宋" w:cs="仿宋"/>
          <w:spacing w:val="9"/>
          <w:sz w:val="31"/>
          <w:szCs w:val="31"/>
        </w:rPr>
        <w:t>、种羊场、鸭</w:t>
      </w:r>
      <w:r>
        <w:rPr>
          <w:rFonts w:ascii="仿宋" w:hAnsi="仿宋" w:eastAsia="仿宋" w:cs="仿宋"/>
          <w:spacing w:val="10"/>
          <w:sz w:val="31"/>
          <w:szCs w:val="31"/>
        </w:rPr>
        <w:t>场、农场、红旗街开展农村生活污水治理项目，</w:t>
      </w:r>
      <w:r>
        <w:rPr>
          <w:rFonts w:ascii="仿宋" w:hAnsi="仿宋" w:eastAsia="仿宋" w:cs="仿宋"/>
          <w:spacing w:val="9"/>
          <w:sz w:val="31"/>
          <w:szCs w:val="31"/>
        </w:rPr>
        <w:t>建设一体化污水处理站、污水收集池及污水收集管网。</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2" w:firstLineChars="200"/>
        <w:jc w:val="both"/>
        <w:textAlignment w:val="baseline"/>
        <w:outlineLvl w:val="2"/>
        <w:rPr>
          <w:rFonts w:ascii="仿宋" w:hAnsi="仿宋" w:eastAsia="仿宋" w:cs="仿宋"/>
          <w:sz w:val="31"/>
          <w:szCs w:val="31"/>
        </w:rPr>
      </w:pPr>
      <w:bookmarkStart w:id="81" w:name="_Toc14626"/>
      <w:r>
        <w:rPr>
          <w:rFonts w:ascii="仿宋" w:hAnsi="仿宋" w:eastAsia="仿宋" w:cs="仿宋"/>
          <w:b/>
          <w:bCs/>
          <w:spacing w:val="5"/>
          <w:sz w:val="31"/>
          <w:szCs w:val="31"/>
        </w:rPr>
        <w:t>2.加强乡村基础设施建设</w:t>
      </w:r>
      <w:bookmarkEnd w:id="81"/>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56" w:firstLineChars="200"/>
        <w:jc w:val="both"/>
        <w:textAlignment w:val="baseline"/>
        <w:rPr>
          <w:rFonts w:ascii="仿宋" w:hAnsi="仿宋" w:eastAsia="仿宋" w:cs="仿宋"/>
          <w:sz w:val="31"/>
          <w:szCs w:val="31"/>
        </w:rPr>
      </w:pPr>
      <w:r>
        <w:rPr>
          <w:rFonts w:ascii="仿宋" w:hAnsi="仿宋" w:eastAsia="仿宋" w:cs="仿宋"/>
          <w:spacing w:val="9"/>
          <w:sz w:val="31"/>
          <w:szCs w:val="31"/>
        </w:rPr>
        <w:t>全面推进“四好农村路”建设，深入实施村庄</w:t>
      </w:r>
      <w:r>
        <w:rPr>
          <w:rFonts w:ascii="仿宋" w:hAnsi="仿宋" w:eastAsia="仿宋" w:cs="仿宋"/>
          <w:spacing w:val="8"/>
          <w:sz w:val="31"/>
          <w:szCs w:val="31"/>
        </w:rPr>
        <w:t>间、村庄内</w:t>
      </w:r>
      <w:r>
        <w:rPr>
          <w:rFonts w:ascii="仿宋" w:hAnsi="仿宋" w:eastAsia="仿宋" w:cs="仿宋"/>
          <w:spacing w:val="12"/>
          <w:sz w:val="31"/>
          <w:szCs w:val="31"/>
        </w:rPr>
        <w:t>主干道硬化路畅通工程，健全农村道路管理养护长效机制，完</w:t>
      </w:r>
      <w:r>
        <w:rPr>
          <w:rFonts w:ascii="仿宋" w:hAnsi="仿宋" w:eastAsia="仿宋" w:cs="仿宋"/>
          <w:spacing w:val="13"/>
          <w:sz w:val="31"/>
          <w:szCs w:val="31"/>
        </w:rPr>
        <w:t>善城乡公共交通网络，强化农村运输集散设施建设。加强饮用水水源地保护，逐步推进乡镇及以下饮用水水源地排查和规范</w:t>
      </w:r>
      <w:r>
        <w:rPr>
          <w:rFonts w:ascii="仿宋" w:hAnsi="仿宋" w:eastAsia="仿宋" w:cs="仿宋"/>
          <w:spacing w:val="10"/>
          <w:sz w:val="31"/>
          <w:szCs w:val="31"/>
        </w:rPr>
        <w:t>化建设，综合采取新建、改造、配套、升级、联网等方式，提高集中供水率、自来水普及率、供水保证率和水</w:t>
      </w:r>
      <w:r>
        <w:rPr>
          <w:rFonts w:ascii="仿宋" w:hAnsi="仿宋" w:eastAsia="仿宋" w:cs="仿宋"/>
          <w:spacing w:val="9"/>
          <w:sz w:val="31"/>
          <w:szCs w:val="31"/>
        </w:rPr>
        <w:t>质达标率。深</w:t>
      </w:r>
      <w:r>
        <w:rPr>
          <w:rFonts w:ascii="仿宋" w:hAnsi="仿宋" w:eastAsia="仿宋" w:cs="仿宋"/>
          <w:spacing w:val="13"/>
          <w:sz w:val="31"/>
          <w:szCs w:val="31"/>
        </w:rPr>
        <w:t>入推进新一轮农村电网改造升级，着力构建清洁低碳、安全高效的现代农村能源供给体系。推动供气设施向农村延伸。建设完善农村宽带通信网、移动互联网、数字电视网，加快推进乡</w:t>
      </w:r>
      <w:r>
        <w:rPr>
          <w:rFonts w:ascii="仿宋" w:hAnsi="仿宋" w:eastAsia="仿宋" w:cs="仿宋"/>
          <w:spacing w:val="11"/>
          <w:sz w:val="31"/>
          <w:szCs w:val="31"/>
        </w:rPr>
        <w:t>村信息化进程。完善农村环境监管机制，健</w:t>
      </w:r>
      <w:r>
        <w:rPr>
          <w:rFonts w:ascii="仿宋" w:hAnsi="仿宋" w:eastAsia="仿宋" w:cs="仿宋"/>
          <w:spacing w:val="10"/>
          <w:sz w:val="31"/>
          <w:szCs w:val="31"/>
        </w:rPr>
        <w:t>全运营管护长效机</w:t>
      </w:r>
      <w:r>
        <w:rPr>
          <w:rFonts w:ascii="仿宋" w:hAnsi="仿宋" w:eastAsia="仿宋" w:cs="仿宋"/>
          <w:spacing w:val="5"/>
          <w:sz w:val="31"/>
          <w:szCs w:val="31"/>
        </w:rPr>
        <w:t>制，全面提升农村居民生活设施现代化水平。到2025年，农村</w:t>
      </w:r>
      <w:r>
        <w:rPr>
          <w:rFonts w:ascii="仿宋" w:hAnsi="仿宋" w:eastAsia="仿宋" w:cs="仿宋"/>
          <w:spacing w:val="13"/>
          <w:sz w:val="31"/>
          <w:szCs w:val="31"/>
        </w:rPr>
        <w:t>自来水普及率达到100%，全市农村垃圾处理率达到100%，5G</w:t>
      </w:r>
      <w:r>
        <w:rPr>
          <w:rFonts w:ascii="仿宋" w:hAnsi="仿宋" w:eastAsia="仿宋" w:cs="仿宋"/>
          <w:spacing w:val="11"/>
          <w:sz w:val="31"/>
          <w:szCs w:val="31"/>
        </w:rPr>
        <w:t>基站数量达到420个左右、基本达到全覆盖，农村生活污水收</w:t>
      </w:r>
      <w:r>
        <w:rPr>
          <w:rFonts w:ascii="仿宋" w:hAnsi="仿宋" w:eastAsia="仿宋" w:cs="仿宋"/>
          <w:spacing w:val="-5"/>
          <w:sz w:val="31"/>
          <w:szCs w:val="31"/>
        </w:rPr>
        <w:t>集率达到80%、处理率达到100%，村屯绿化覆盖率达</w:t>
      </w:r>
      <w:r>
        <w:rPr>
          <w:rFonts w:ascii="仿宋" w:hAnsi="仿宋" w:eastAsia="仿宋" w:cs="仿宋"/>
          <w:spacing w:val="-6"/>
          <w:sz w:val="31"/>
          <w:szCs w:val="31"/>
        </w:rPr>
        <w:t>到25%以上。</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2" w:firstLineChars="200"/>
        <w:jc w:val="both"/>
        <w:textAlignment w:val="baseline"/>
        <w:outlineLvl w:val="2"/>
        <w:rPr>
          <w:rFonts w:ascii="仿宋" w:hAnsi="仿宋" w:eastAsia="仿宋" w:cs="仿宋"/>
          <w:sz w:val="31"/>
          <w:szCs w:val="31"/>
        </w:rPr>
      </w:pPr>
      <w:bookmarkStart w:id="82" w:name="_Toc24112"/>
      <w:r>
        <w:rPr>
          <w:rFonts w:ascii="仿宋" w:hAnsi="仿宋" w:eastAsia="仿宋" w:cs="仿宋"/>
          <w:b/>
          <w:bCs/>
          <w:spacing w:val="5"/>
          <w:sz w:val="31"/>
          <w:szCs w:val="31"/>
        </w:rPr>
        <w:t>3.提升农村公共服务水平</w:t>
      </w:r>
      <w:bookmarkEnd w:id="82"/>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68" w:firstLineChars="200"/>
        <w:jc w:val="both"/>
        <w:textAlignment w:val="baseline"/>
        <w:rPr>
          <w:rFonts w:ascii="仿宋" w:hAnsi="仿宋" w:eastAsia="仿宋" w:cs="仿宋"/>
          <w:sz w:val="31"/>
          <w:szCs w:val="31"/>
        </w:rPr>
      </w:pPr>
      <w:r>
        <w:rPr>
          <w:rFonts w:ascii="仿宋" w:hAnsi="仿宋" w:eastAsia="仿宋" w:cs="仿宋"/>
          <w:spacing w:val="12"/>
          <w:sz w:val="31"/>
          <w:szCs w:val="31"/>
        </w:rPr>
        <w:t>统筹推进城乡一体化发展，不断拓展公益性岗位，大力发</w:t>
      </w:r>
      <w:r>
        <w:rPr>
          <w:rFonts w:ascii="仿宋" w:hAnsi="仿宋" w:eastAsia="仿宋" w:cs="仿宋"/>
          <w:spacing w:val="10"/>
          <w:sz w:val="31"/>
          <w:szCs w:val="31"/>
        </w:rPr>
        <w:t>展公益性社会事业。贯彻落实农村养老、医疗、最低生活保障</w:t>
      </w:r>
      <w:r>
        <w:rPr>
          <w:rFonts w:ascii="仿宋" w:hAnsi="仿宋" w:eastAsia="仿宋" w:cs="仿宋"/>
          <w:spacing w:val="5"/>
          <w:sz w:val="31"/>
          <w:szCs w:val="31"/>
        </w:rPr>
        <w:t>等政策，健全农村养老服务体系，推进农村社会福利服务中心、</w:t>
      </w:r>
      <w:r>
        <w:rPr>
          <w:rFonts w:ascii="仿宋" w:hAnsi="仿宋" w:eastAsia="仿宋" w:cs="仿宋"/>
          <w:spacing w:val="13"/>
          <w:sz w:val="31"/>
          <w:szCs w:val="31"/>
        </w:rPr>
        <w:t>民办养老机构、农村养老服务大院的建设，加快推进王奔、茂</w:t>
      </w:r>
      <w:r>
        <w:rPr>
          <w:rFonts w:ascii="仿宋" w:hAnsi="仿宋" w:eastAsia="仿宋" w:cs="仿宋"/>
          <w:spacing w:val="12"/>
          <w:sz w:val="31"/>
          <w:szCs w:val="31"/>
        </w:rPr>
        <w:t>林社会福利服务中心建设项目，改善农村养老机构居住环境，</w:t>
      </w:r>
      <w:r>
        <w:rPr>
          <w:rFonts w:ascii="仿宋" w:hAnsi="仿宋" w:eastAsia="仿宋" w:cs="仿宋"/>
          <w:spacing w:val="13"/>
          <w:sz w:val="31"/>
          <w:szCs w:val="31"/>
        </w:rPr>
        <w:t>提升养老服务标准，提高低收入人群养老入住率。建设乡村公</w:t>
      </w:r>
      <w:r>
        <w:rPr>
          <w:rFonts w:ascii="仿宋" w:hAnsi="仿宋" w:eastAsia="仿宋" w:cs="仿宋"/>
          <w:spacing w:val="7"/>
          <w:sz w:val="31"/>
          <w:szCs w:val="31"/>
        </w:rPr>
        <w:t>共娱乐活动中心,举办农民文化节、农民丰收节、文化惠农直通</w:t>
      </w:r>
      <w:r>
        <w:rPr>
          <w:rFonts w:ascii="仿宋" w:hAnsi="仿宋" w:eastAsia="仿宋" w:cs="仿宋"/>
          <w:spacing w:val="13"/>
          <w:sz w:val="31"/>
          <w:szCs w:val="31"/>
        </w:rPr>
        <w:t>车，建立农民群众文化需求反馈机制，优化乡村公共文化服务</w:t>
      </w:r>
      <w:r>
        <w:rPr>
          <w:rFonts w:ascii="仿宋" w:hAnsi="仿宋" w:eastAsia="仿宋" w:cs="仿宋"/>
          <w:spacing w:val="4"/>
          <w:sz w:val="31"/>
          <w:szCs w:val="31"/>
        </w:rPr>
        <w:t>供给。建设农村基层医疗服务中心，完善现代化医疗设备配套，</w:t>
      </w:r>
      <w:r>
        <w:rPr>
          <w:rFonts w:ascii="仿宋" w:hAnsi="仿宋" w:eastAsia="仿宋" w:cs="仿宋"/>
          <w:spacing w:val="13"/>
          <w:sz w:val="31"/>
          <w:szCs w:val="31"/>
        </w:rPr>
        <w:t>推进乡镇卫生院标准化建设和村卫生所标准化管理，</w:t>
      </w:r>
      <w:r>
        <w:rPr>
          <w:rFonts w:ascii="仿宋" w:hAnsi="仿宋" w:eastAsia="仿宋" w:cs="仿宋"/>
          <w:spacing w:val="12"/>
          <w:sz w:val="31"/>
          <w:szCs w:val="31"/>
        </w:rPr>
        <w:t>加强农村</w:t>
      </w:r>
      <w:r>
        <w:rPr>
          <w:rFonts w:ascii="仿宋" w:hAnsi="仿宋" w:eastAsia="仿宋" w:cs="仿宋"/>
          <w:spacing w:val="13"/>
          <w:sz w:val="31"/>
          <w:szCs w:val="31"/>
        </w:rPr>
        <w:t>医务人员技能培训，有序推进分级就诊和医疗资源下</w:t>
      </w:r>
      <w:r>
        <w:rPr>
          <w:rFonts w:ascii="仿宋" w:hAnsi="仿宋" w:eastAsia="仿宋" w:cs="仿宋"/>
          <w:spacing w:val="12"/>
          <w:sz w:val="31"/>
          <w:szCs w:val="31"/>
        </w:rPr>
        <w:t>沉。持续</w:t>
      </w:r>
      <w:r>
        <w:rPr>
          <w:rFonts w:ascii="仿宋" w:hAnsi="仿宋" w:eastAsia="仿宋" w:cs="仿宋"/>
          <w:spacing w:val="5"/>
          <w:sz w:val="31"/>
          <w:szCs w:val="31"/>
        </w:rPr>
        <w:t>推进农村义务教育、实施学生营养改善计划，优化校</w:t>
      </w:r>
      <w:r>
        <w:rPr>
          <w:rFonts w:ascii="仿宋" w:hAnsi="仿宋" w:eastAsia="仿宋" w:cs="仿宋"/>
          <w:spacing w:val="4"/>
          <w:sz w:val="31"/>
          <w:szCs w:val="31"/>
        </w:rPr>
        <w:t>舍、操场、</w:t>
      </w:r>
      <w:r>
        <w:rPr>
          <w:rFonts w:ascii="仿宋" w:hAnsi="仿宋" w:eastAsia="仿宋" w:cs="仿宋"/>
          <w:spacing w:val="5"/>
          <w:sz w:val="31"/>
          <w:szCs w:val="31"/>
        </w:rPr>
        <w:t>食堂、校车等教育辅助性配套资源。到2025年，农村义务教育</w:t>
      </w:r>
      <w:r>
        <w:rPr>
          <w:rFonts w:ascii="仿宋" w:hAnsi="仿宋" w:eastAsia="仿宋" w:cs="仿宋"/>
          <w:spacing w:val="7"/>
          <w:sz w:val="31"/>
          <w:szCs w:val="31"/>
        </w:rPr>
        <w:t>巩固率达到98.2%，农村高中阶段教育毛入学率达到</w:t>
      </w:r>
      <w:r>
        <w:rPr>
          <w:rFonts w:ascii="仿宋" w:hAnsi="仿宋" w:eastAsia="仿宋" w:cs="仿宋"/>
          <w:spacing w:val="6"/>
          <w:sz w:val="31"/>
          <w:szCs w:val="31"/>
        </w:rPr>
        <w:t>98.5%。</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2" w:firstLineChars="200"/>
        <w:jc w:val="both"/>
        <w:textAlignment w:val="baseline"/>
        <w:outlineLvl w:val="2"/>
        <w:rPr>
          <w:rFonts w:ascii="仿宋" w:hAnsi="仿宋" w:eastAsia="仿宋" w:cs="仿宋"/>
          <w:sz w:val="31"/>
          <w:szCs w:val="31"/>
        </w:rPr>
      </w:pPr>
      <w:bookmarkStart w:id="83" w:name="_Toc8169"/>
      <w:r>
        <w:rPr>
          <w:rFonts w:ascii="仿宋" w:hAnsi="仿宋" w:eastAsia="仿宋" w:cs="仿宋"/>
          <w:b/>
          <w:bCs/>
          <w:spacing w:val="5"/>
          <w:sz w:val="31"/>
          <w:szCs w:val="31"/>
        </w:rPr>
        <w:t>4.构建现代乡村治理体系</w:t>
      </w:r>
      <w:bookmarkEnd w:id="83"/>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56" w:firstLineChars="200"/>
        <w:jc w:val="both"/>
        <w:textAlignment w:val="baseline"/>
        <w:rPr>
          <w:rFonts w:ascii="仿宋" w:hAnsi="仿宋" w:eastAsia="仿宋" w:cs="仿宋"/>
          <w:sz w:val="31"/>
          <w:szCs w:val="31"/>
        </w:rPr>
      </w:pPr>
      <w:r>
        <w:rPr>
          <w:rFonts w:ascii="仿宋" w:hAnsi="仿宋" w:eastAsia="仿宋" w:cs="仿宋"/>
          <w:spacing w:val="9"/>
          <w:sz w:val="31"/>
          <w:szCs w:val="31"/>
        </w:rPr>
        <w:t>推进农村基层民主政治建设，建立健全规范有序、充满</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52" w:firstLineChars="200"/>
        <w:jc w:val="both"/>
        <w:textAlignment w:val="baseline"/>
        <w:rPr>
          <w:rFonts w:ascii="仿宋" w:hAnsi="仿宋" w:eastAsia="仿宋" w:cs="仿宋"/>
          <w:sz w:val="31"/>
          <w:szCs w:val="31"/>
        </w:rPr>
      </w:pPr>
      <w:r>
        <w:rPr>
          <w:rFonts w:ascii="仿宋" w:hAnsi="仿宋" w:eastAsia="仿宋" w:cs="仿宋"/>
          <w:spacing w:val="8"/>
          <w:sz w:val="31"/>
          <w:szCs w:val="31"/>
        </w:rPr>
        <w:t>活力的乡村治理机制。加强农村基层服务型党组织建设，</w:t>
      </w:r>
      <w:r>
        <w:rPr>
          <w:rFonts w:ascii="仿宋" w:hAnsi="仿宋" w:eastAsia="仿宋" w:cs="仿宋"/>
          <w:spacing w:val="13"/>
          <w:sz w:val="31"/>
          <w:szCs w:val="31"/>
        </w:rPr>
        <w:t>推进村务监督委员会建设。开展村干部培训，提高村“两委”</w:t>
      </w:r>
      <w:r>
        <w:rPr>
          <w:rFonts w:ascii="仿宋" w:hAnsi="仿宋" w:eastAsia="仿宋" w:cs="仿宋"/>
          <w:spacing w:val="7"/>
          <w:sz w:val="31"/>
          <w:szCs w:val="31"/>
        </w:rPr>
        <w:t>干部和家庭农场、农民合作社带头人管理农村、发展经济、促</w:t>
      </w:r>
      <w:r>
        <w:rPr>
          <w:rFonts w:ascii="仿宋" w:hAnsi="仿宋" w:eastAsia="仿宋" w:cs="仿宋"/>
          <w:spacing w:val="10"/>
          <w:sz w:val="31"/>
          <w:szCs w:val="31"/>
        </w:rPr>
        <w:t>进文明建设水平。健全基层民主制度，完善和</w:t>
      </w:r>
      <w:r>
        <w:rPr>
          <w:rFonts w:ascii="仿宋" w:hAnsi="仿宋" w:eastAsia="仿宋" w:cs="仿宋"/>
          <w:spacing w:val="9"/>
          <w:sz w:val="31"/>
          <w:szCs w:val="31"/>
        </w:rPr>
        <w:t>创新村民自治机</w:t>
      </w:r>
      <w:r>
        <w:rPr>
          <w:rFonts w:ascii="仿宋" w:hAnsi="仿宋" w:eastAsia="仿宋" w:cs="仿宋"/>
          <w:spacing w:val="10"/>
          <w:sz w:val="31"/>
          <w:szCs w:val="31"/>
        </w:rPr>
        <w:t>制，引导村民依法理性维护自身权益。发展壮</w:t>
      </w:r>
      <w:r>
        <w:rPr>
          <w:rFonts w:ascii="仿宋" w:hAnsi="仿宋" w:eastAsia="仿宋" w:cs="仿宋"/>
          <w:spacing w:val="9"/>
          <w:sz w:val="31"/>
          <w:szCs w:val="31"/>
        </w:rPr>
        <w:t>大新型村级集体</w:t>
      </w:r>
      <w:r>
        <w:rPr>
          <w:rFonts w:ascii="仿宋" w:hAnsi="仿宋" w:eastAsia="仿宋" w:cs="仿宋"/>
          <w:spacing w:val="5"/>
          <w:sz w:val="31"/>
          <w:szCs w:val="31"/>
        </w:rPr>
        <w:t>经济，建立稳定的村级组织运转经费保障制度，建立责权明晰、</w:t>
      </w:r>
      <w:r>
        <w:rPr>
          <w:rFonts w:ascii="仿宋" w:hAnsi="仿宋" w:eastAsia="仿宋" w:cs="仿宋"/>
          <w:spacing w:val="10"/>
          <w:sz w:val="31"/>
          <w:szCs w:val="31"/>
        </w:rPr>
        <w:t>衔接配套、运转有效的村级民主监督机制。推</w:t>
      </w:r>
      <w:r>
        <w:rPr>
          <w:rFonts w:ascii="仿宋" w:hAnsi="仿宋" w:eastAsia="仿宋" w:cs="仿宋"/>
          <w:spacing w:val="9"/>
          <w:sz w:val="31"/>
          <w:szCs w:val="31"/>
        </w:rPr>
        <w:t>进农村精神文明创建活动。健全农村治安防控体系，维护农村社会和谐稳定。</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38" w:firstLineChars="200"/>
        <w:jc w:val="both"/>
        <w:textAlignment w:val="baseline"/>
        <w:outlineLvl w:val="2"/>
        <w:rPr>
          <w:rFonts w:ascii="仿宋" w:hAnsi="仿宋" w:eastAsia="仿宋" w:cs="仿宋"/>
          <w:sz w:val="31"/>
          <w:szCs w:val="31"/>
        </w:rPr>
      </w:pPr>
      <w:bookmarkStart w:id="84" w:name="_Toc4484"/>
      <w:r>
        <w:rPr>
          <w:rFonts w:ascii="仿宋" w:hAnsi="仿宋" w:eastAsia="仿宋" w:cs="仿宋"/>
          <w:b/>
          <w:bCs/>
          <w:spacing w:val="4"/>
          <w:sz w:val="31"/>
          <w:szCs w:val="31"/>
        </w:rPr>
        <w:t>5.巩固脱贫攻坚成果</w:t>
      </w:r>
      <w:bookmarkEnd w:id="84"/>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56" w:firstLineChars="200"/>
        <w:jc w:val="both"/>
        <w:textAlignment w:val="baseline"/>
        <w:rPr>
          <w:rFonts w:ascii="仿宋" w:hAnsi="仿宋" w:eastAsia="仿宋" w:cs="仿宋"/>
          <w:spacing w:val="6"/>
          <w:sz w:val="31"/>
          <w:szCs w:val="31"/>
        </w:rPr>
      </w:pPr>
      <w:r>
        <w:rPr>
          <w:rFonts w:ascii="仿宋" w:hAnsi="仿宋" w:eastAsia="仿宋" w:cs="仿宋"/>
          <w:spacing w:val="9"/>
          <w:sz w:val="31"/>
          <w:szCs w:val="31"/>
        </w:rPr>
        <w:t>坚决守住脱贫攻坚成果，对退出的贫困村、贫困人口，严</w:t>
      </w:r>
      <w:r>
        <w:rPr>
          <w:rFonts w:ascii="仿宋" w:hAnsi="仿宋" w:eastAsia="仿宋" w:cs="仿宋"/>
          <w:spacing w:val="5"/>
          <w:sz w:val="31"/>
          <w:szCs w:val="31"/>
        </w:rPr>
        <w:t>格落实摘帽不摘责任、不摘政策、不摘帮扶、不摘监管</w:t>
      </w:r>
      <w:r>
        <w:rPr>
          <w:rFonts w:ascii="仿宋" w:hAnsi="仿宋" w:eastAsia="仿宋" w:cs="仿宋"/>
          <w:spacing w:val="4"/>
          <w:sz w:val="31"/>
          <w:szCs w:val="31"/>
        </w:rPr>
        <w:t>的要求。</w:t>
      </w:r>
      <w:r>
        <w:rPr>
          <w:rFonts w:ascii="仿宋" w:hAnsi="仿宋" w:eastAsia="仿宋" w:cs="仿宋"/>
          <w:spacing w:val="10"/>
          <w:sz w:val="31"/>
          <w:szCs w:val="31"/>
        </w:rPr>
        <w:t>采用劳务补贴、生产奖补、以工代赈等措施，培育相对贫困群</w:t>
      </w:r>
      <w:r>
        <w:rPr>
          <w:rFonts w:ascii="仿宋" w:hAnsi="仿宋" w:eastAsia="仿宋" w:cs="仿宋"/>
          <w:spacing w:val="13"/>
          <w:sz w:val="31"/>
          <w:szCs w:val="31"/>
        </w:rPr>
        <w:t>体发展生产和务工经商的基本能力，精准开展技能培训，增强</w:t>
      </w:r>
      <w:r>
        <w:rPr>
          <w:rFonts w:ascii="仿宋" w:hAnsi="仿宋" w:eastAsia="仿宋" w:cs="仿宋"/>
          <w:spacing w:val="11"/>
          <w:sz w:val="31"/>
          <w:szCs w:val="31"/>
        </w:rPr>
        <w:t>相对贫困群体“造血”功能。建立相对贫困申报识别信息管理</w:t>
      </w:r>
      <w:r>
        <w:rPr>
          <w:rFonts w:ascii="仿宋" w:hAnsi="仿宋" w:eastAsia="仿宋" w:cs="仿宋"/>
          <w:spacing w:val="13"/>
          <w:sz w:val="31"/>
          <w:szCs w:val="31"/>
        </w:rPr>
        <w:t>系统，健全贫困监测预警机制，重点加强对不稳定脱贫户、边缘户的动态监测，及时开展返贫风险识别及分级管理，将返贫</w:t>
      </w:r>
      <w:r>
        <w:rPr>
          <w:rFonts w:ascii="仿宋" w:hAnsi="仿宋" w:eastAsia="仿宋" w:cs="仿宋"/>
          <w:spacing w:val="12"/>
          <w:sz w:val="31"/>
          <w:szCs w:val="31"/>
        </w:rPr>
        <w:t>和新致贫人口纳入帮扶范围。建立专项创业帮扶基金，提供劳</w:t>
      </w:r>
      <w:r>
        <w:rPr>
          <w:rFonts w:ascii="仿宋" w:hAnsi="仿宋" w:eastAsia="仿宋" w:cs="仿宋"/>
          <w:spacing w:val="10"/>
          <w:sz w:val="31"/>
          <w:szCs w:val="31"/>
        </w:rPr>
        <w:t>务输出、岗位对接服务，拓展公益性岗位和居家灵活就业等方</w:t>
      </w:r>
      <w:r>
        <w:rPr>
          <w:rFonts w:ascii="仿宋" w:hAnsi="仿宋" w:eastAsia="仿宋" w:cs="仿宋"/>
          <w:spacing w:val="5"/>
          <w:sz w:val="31"/>
          <w:szCs w:val="31"/>
        </w:rPr>
        <w:t>式，抓好各类相对贫困群体的就业创业工作。重点开展普惠性、</w:t>
      </w:r>
      <w:r>
        <w:rPr>
          <w:rFonts w:ascii="仿宋" w:hAnsi="仿宋" w:eastAsia="仿宋" w:cs="仿宋"/>
          <w:spacing w:val="13"/>
          <w:sz w:val="31"/>
          <w:szCs w:val="31"/>
        </w:rPr>
        <w:t>基础性、兜底性民生工程，着力解决好病残孤老灾等特殊人群的支出型贫困问题。有效推进社会帮扶工作与志愿服务、慈善捐赠等工作相结合，持续探索村企、村校、村村和户户等结对</w:t>
      </w:r>
      <w:r>
        <w:rPr>
          <w:rFonts w:ascii="仿宋" w:hAnsi="仿宋" w:eastAsia="仿宋" w:cs="仿宋"/>
          <w:spacing w:val="6"/>
          <w:sz w:val="31"/>
          <w:szCs w:val="31"/>
        </w:rPr>
        <w:t>帮扶模式。</w:t>
      </w:r>
    </w:p>
    <w:p>
      <w:pPr>
        <w:pStyle w:val="2"/>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80" w:firstLineChars="200"/>
        <w:jc w:val="center"/>
        <w:textAlignment w:val="baseline"/>
        <w:outlineLvl w:val="1"/>
        <w:rPr>
          <w:rFonts w:hint="eastAsia" w:cs="仿宋"/>
          <w:b/>
          <w:bCs/>
          <w:sz w:val="24"/>
          <w:szCs w:val="24"/>
        </w:rPr>
      </w:pPr>
      <w:bookmarkStart w:id="85" w:name="bookmark39"/>
      <w:bookmarkEnd w:id="85"/>
      <w:bookmarkStart w:id="86" w:name="_Toc31763"/>
      <w:r>
        <w:rPr>
          <w:rFonts w:hint="eastAsia" w:cs="仿宋"/>
          <w:b/>
          <w:bCs/>
          <w:sz w:val="24"/>
          <w:szCs w:val="24"/>
        </w:rPr>
        <w:t>专栏8宜居宜业美丽乡村重点项目</w:t>
      </w:r>
      <w:bookmarkEnd w:id="86"/>
    </w:p>
    <w:p>
      <w:pPr>
        <w:pStyle w:val="2"/>
        <w:rPr>
          <w:rFonts w:hint="eastAsia"/>
          <w:sz w:val="8"/>
          <w:szCs w:val="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1" w:hRule="atLeast"/>
          <w:jc w:val="center"/>
        </w:trPr>
        <w:tc>
          <w:tcPr>
            <w:tcW w:w="9241" w:type="dxa"/>
            <w:noWrap w:val="0"/>
            <w:vAlign w:val="top"/>
          </w:tcPr>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b/>
                <w:bCs/>
                <w:kern w:val="21"/>
                <w:sz w:val="24"/>
                <w:szCs w:val="24"/>
                <w:highlight w:val="none"/>
                <w:lang w:val="en-US" w:eastAsia="zh-CN"/>
              </w:rPr>
            </w:pPr>
            <w:r>
              <w:rPr>
                <w:rFonts w:hint="eastAsia" w:cs="仿宋"/>
                <w:b/>
                <w:bCs/>
                <w:kern w:val="21"/>
                <w:sz w:val="24"/>
                <w:szCs w:val="24"/>
                <w:highlight w:val="none"/>
                <w:lang w:val="en-US" w:eastAsia="zh-CN"/>
              </w:rPr>
              <w:t>1.乡村振兴农业领域补短板项目</w:t>
            </w:r>
          </w:p>
          <w:p>
            <w:pPr>
              <w:keepNext w:val="0"/>
              <w:keepLines w:val="0"/>
              <w:pageBreakBefore w:val="0"/>
              <w:widowControl w:val="0"/>
              <w:numPr>
                <w:ilvl w:val="0"/>
                <w:numId w:val="1"/>
              </w:numPr>
              <w:kinsoku/>
              <w:wordWrap/>
              <w:overflowPunct w:val="0"/>
              <w:topLinePunct w:val="0"/>
              <w:bidi w:val="0"/>
              <w:spacing w:line="360" w:lineRule="auto"/>
              <w:ind w:firstLine="560"/>
              <w:jc w:val="both"/>
              <w:rPr>
                <w:rFonts w:hint="eastAsia" w:cs="仿宋"/>
                <w:sz w:val="24"/>
                <w:szCs w:val="24"/>
              </w:rPr>
            </w:pPr>
            <w:r>
              <w:rPr>
                <w:rFonts w:hint="eastAsia" w:cs="仿宋"/>
                <w:sz w:val="24"/>
                <w:szCs w:val="24"/>
              </w:rPr>
              <w:t>鲜食玉米加工项目：总投资1424万元，重点支持双山镇、卧虎镇鲜食玉米产业的发展，主要建设鲜食玉米仓储保鲜、速冻生产加工设备升级改造及扩大生产规模等。</w:t>
            </w:r>
          </w:p>
          <w:p>
            <w:pPr>
              <w:pStyle w:val="2"/>
              <w:keepNext w:val="0"/>
              <w:keepLines w:val="0"/>
              <w:pageBreakBefore w:val="0"/>
              <w:widowControl w:val="0"/>
              <w:numPr>
                <w:ilvl w:val="0"/>
                <w:numId w:val="1"/>
              </w:numPr>
              <w:kinsoku/>
              <w:wordWrap/>
              <w:overflowPunct w:val="0"/>
              <w:topLinePunct w:val="0"/>
              <w:bidi w:val="0"/>
              <w:spacing w:line="360" w:lineRule="auto"/>
              <w:ind w:firstLine="560"/>
              <w:jc w:val="both"/>
              <w:rPr>
                <w:rFonts w:hint="eastAsia" w:ascii="仿宋" w:hAnsi="仿宋" w:cs="仿宋"/>
                <w:color w:val="auto"/>
                <w:sz w:val="24"/>
                <w:szCs w:val="24"/>
              </w:rPr>
            </w:pPr>
            <w:r>
              <w:rPr>
                <w:rFonts w:hint="eastAsia" w:ascii="仿宋" w:hAnsi="仿宋" w:cs="仿宋"/>
                <w:color w:val="auto"/>
                <w:sz w:val="24"/>
                <w:szCs w:val="24"/>
              </w:rPr>
              <w:t>特色产业发展项目：投资400万元左右，支持新型经营主体、涉农企业</w:t>
            </w:r>
            <w:r>
              <w:rPr>
                <w:rFonts w:hint="eastAsia" w:ascii="仿宋" w:hAnsi="仿宋" w:cs="仿宋"/>
                <w:color w:val="7030A0"/>
                <w:sz w:val="24"/>
                <w:szCs w:val="24"/>
              </w:rPr>
              <w:t>，</w:t>
            </w:r>
            <w:r>
              <w:rPr>
                <w:rFonts w:hint="eastAsia" w:ascii="仿宋" w:hAnsi="仿宋" w:cs="仿宋"/>
                <w:color w:val="auto"/>
                <w:sz w:val="24"/>
                <w:szCs w:val="24"/>
              </w:rPr>
              <w:t>培育农产品仓储保鲜、优势特色农产品发展。</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b/>
                <w:bCs/>
                <w:kern w:val="21"/>
                <w:sz w:val="24"/>
                <w:szCs w:val="24"/>
                <w:highlight w:val="none"/>
                <w:lang w:val="en-US" w:eastAsia="zh-CN"/>
              </w:rPr>
            </w:pPr>
            <w:r>
              <w:rPr>
                <w:rFonts w:hint="eastAsia" w:cs="仿宋"/>
                <w:b/>
                <w:bCs/>
                <w:kern w:val="21"/>
                <w:sz w:val="24"/>
                <w:szCs w:val="24"/>
                <w:highlight w:val="none"/>
                <w:lang w:val="en-US" w:eastAsia="zh-CN"/>
              </w:rPr>
              <w:t>2.乡村水环境治理</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sz w:val="24"/>
                <w:szCs w:val="24"/>
              </w:rPr>
            </w:pPr>
            <w:r>
              <w:rPr>
                <w:rFonts w:hint="eastAsia" w:cs="仿宋"/>
                <w:sz w:val="24"/>
                <w:szCs w:val="24"/>
              </w:rPr>
              <w:t>（1）双辽市河湖连通工程：项目总投资6.7亿元，连通河湖线路总长36.8公里。新建泵站2座、水闸2座、农道桥3座、人工湖1座等。</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sz w:val="24"/>
                <w:szCs w:val="24"/>
              </w:rPr>
            </w:pPr>
            <w:r>
              <w:rPr>
                <w:rFonts w:hint="eastAsia" w:cs="仿宋"/>
                <w:sz w:val="24"/>
                <w:szCs w:val="24"/>
              </w:rPr>
              <w:t>（2）川头水库至小山水库输水渠工程：项目总投资2.1亿元，线路总长79.2公里。新建农道桥13座、涵洞3座、水闸12座、跌水8座、泵站1座等。</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sz w:val="24"/>
                <w:szCs w:val="24"/>
              </w:rPr>
            </w:pPr>
            <w:r>
              <w:rPr>
                <w:rFonts w:hint="eastAsia" w:cs="仿宋"/>
                <w:sz w:val="24"/>
                <w:szCs w:val="24"/>
                <w:highlight w:val="none"/>
              </w:rPr>
              <w:t>（3）</w:t>
            </w:r>
            <w:r>
              <w:rPr>
                <w:rFonts w:hint="eastAsia" w:cs="仿宋"/>
                <w:color w:val="auto"/>
                <w:sz w:val="24"/>
                <w:szCs w:val="24"/>
              </w:rPr>
              <w:t>河湖渠系治理及生态补水工程：项目总投资</w:t>
            </w:r>
            <w:r>
              <w:rPr>
                <w:rFonts w:hint="eastAsia" w:cs="仿宋"/>
                <w:sz w:val="24"/>
                <w:szCs w:val="24"/>
                <w:lang w:eastAsia="zh-CN"/>
              </w:rPr>
              <w:t>5</w:t>
            </w:r>
            <w:r>
              <w:rPr>
                <w:rFonts w:hint="eastAsia" w:cs="仿宋"/>
                <w:sz w:val="24"/>
                <w:szCs w:val="24"/>
                <w:lang w:val="en-US" w:eastAsia="zh-CN"/>
              </w:rPr>
              <w:t>.5</w:t>
            </w:r>
            <w:r>
              <w:rPr>
                <w:rFonts w:hint="eastAsia" w:cs="仿宋"/>
                <w:color w:val="auto"/>
                <w:sz w:val="24"/>
                <w:szCs w:val="24"/>
              </w:rPr>
              <w:t>亿元，主要建设内容：</w:t>
            </w:r>
            <w:r>
              <w:rPr>
                <w:rFonts w:hint="eastAsia" w:cs="仿宋"/>
                <w:sz w:val="24"/>
                <w:szCs w:val="24"/>
              </w:rPr>
              <w:t>拆除重建破损防洪桥，堤防加高培厚，新建护岸，新建堤顶防汛公路，河道清淤疏浚，桥、涵、闸、站维护，枢纽改建，水、林、路、草等综合治理。</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b/>
                <w:bCs/>
                <w:kern w:val="21"/>
                <w:sz w:val="24"/>
                <w:szCs w:val="24"/>
                <w:highlight w:val="none"/>
                <w:lang w:val="en-US" w:eastAsia="zh-CN"/>
              </w:rPr>
            </w:pPr>
            <w:r>
              <w:rPr>
                <w:rFonts w:hint="eastAsia" w:cs="仿宋"/>
                <w:b/>
                <w:bCs/>
                <w:kern w:val="21"/>
                <w:sz w:val="24"/>
                <w:szCs w:val="24"/>
                <w:highlight w:val="none"/>
                <w:lang w:val="en-US" w:eastAsia="zh-CN"/>
              </w:rPr>
              <w:t>3.农村生活垃圾治理和资源化利用项目</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sz w:val="24"/>
                <w:szCs w:val="24"/>
              </w:rPr>
            </w:pPr>
            <w:r>
              <w:rPr>
                <w:rFonts w:hint="eastAsia" w:cs="仿宋"/>
                <w:sz w:val="24"/>
                <w:szCs w:val="24"/>
              </w:rPr>
              <w:t>项目总投资12249万元，在各乡（镇、街）建设农村生活垃圾转运站18个，投放户用垃圾桶102300个、收储转运钩臂箱2046个，配备垃圾转运车48辆、保洁清运车1500台。逐步完善垃圾分类收集、转运、处理、资源化利用体系建设，鼓励农户源头减量、资源化利用。可回收物处理由村保洁员统一收集，运送至再生资源回收点。</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b/>
                <w:bCs/>
                <w:kern w:val="21"/>
                <w:sz w:val="24"/>
                <w:szCs w:val="24"/>
                <w:highlight w:val="none"/>
                <w:lang w:val="en-US" w:eastAsia="zh-CN"/>
              </w:rPr>
            </w:pPr>
            <w:r>
              <w:rPr>
                <w:rFonts w:hint="eastAsia" w:cs="仿宋"/>
                <w:b/>
                <w:bCs/>
                <w:kern w:val="21"/>
                <w:sz w:val="24"/>
                <w:szCs w:val="24"/>
                <w:highlight w:val="none"/>
                <w:lang w:val="en-US" w:eastAsia="zh-CN"/>
              </w:rPr>
              <w:t>4.农村生活污水治理项目</w:t>
            </w:r>
          </w:p>
          <w:p>
            <w:pPr>
              <w:keepNext w:val="0"/>
              <w:keepLines w:val="0"/>
              <w:pageBreakBefore w:val="0"/>
              <w:widowControl w:val="0"/>
              <w:kinsoku/>
              <w:wordWrap/>
              <w:overflowPunct w:val="0"/>
              <w:topLinePunct w:val="0"/>
              <w:bidi w:val="0"/>
              <w:spacing w:line="360" w:lineRule="auto"/>
              <w:ind w:firstLine="560"/>
              <w:jc w:val="both"/>
              <w:rPr>
                <w:rFonts w:hint="eastAsia" w:cs="仿宋"/>
                <w:sz w:val="24"/>
                <w:szCs w:val="24"/>
              </w:rPr>
            </w:pPr>
            <w:r>
              <w:rPr>
                <w:rFonts w:hint="eastAsia" w:cs="仿宋"/>
                <w:sz w:val="24"/>
                <w:szCs w:val="24"/>
              </w:rPr>
              <w:t>总投资8395.4万元，在8个乡（场、街道）建设7座小型一体化污水处理站，分别为那木乡20吨/日、永加乡50吨/日、柳条乡50吨/日、新立乡70吨/日、双辽种羊场400吨/日、双辽农场50吨/日、双山鸭场100吨/日；1座提升泵站，红旗街新建污水提升泵站1座，泵站规模80吨/日。</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b/>
                <w:bCs/>
                <w:kern w:val="21"/>
                <w:sz w:val="24"/>
                <w:szCs w:val="24"/>
                <w:highlight w:val="none"/>
                <w:lang w:val="en-US" w:eastAsia="zh-CN"/>
              </w:rPr>
            </w:pPr>
            <w:r>
              <w:rPr>
                <w:rFonts w:hint="eastAsia" w:cs="仿宋"/>
                <w:b/>
                <w:bCs/>
                <w:kern w:val="21"/>
                <w:sz w:val="24"/>
                <w:szCs w:val="24"/>
                <w:highlight w:val="none"/>
                <w:lang w:val="en-US" w:eastAsia="zh-CN"/>
              </w:rPr>
              <w:t>5.农村户用厕所改造项目</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eastAsia="宋体" w:cs="仿宋"/>
                <w:sz w:val="24"/>
                <w:szCs w:val="24"/>
                <w:lang w:eastAsia="zh-CN"/>
              </w:rPr>
            </w:pPr>
            <w:r>
              <w:rPr>
                <w:rFonts w:hint="eastAsia" w:ascii="仿宋" w:hAnsi="仿宋" w:cs="仿宋"/>
                <w:sz w:val="24"/>
                <w:szCs w:val="24"/>
              </w:rPr>
              <w:t>每年投资400万元,在18个乡（镇、街）新建800户卫生旱厕。加快推进户用卫生厕所建设和改造，同步实施厕所粪污就地就近就资源化利用。推进农村新建住房及保障性安居工程等项目</w:t>
            </w:r>
            <w:r>
              <w:rPr>
                <w:rFonts w:hint="eastAsia" w:ascii="仿宋" w:hAnsi="仿宋" w:eastAsia="宋体" w:cs="仿宋"/>
                <w:sz w:val="24"/>
                <w:szCs w:val="24"/>
                <w:lang w:eastAsia="zh-CN"/>
              </w:rPr>
              <w:t>，</w:t>
            </w:r>
            <w:r>
              <w:rPr>
                <w:rFonts w:hint="eastAsia" w:ascii="仿宋" w:hAnsi="仿宋" w:cs="仿宋"/>
                <w:sz w:val="24"/>
                <w:szCs w:val="24"/>
              </w:rPr>
              <w:t>配套建设无害化卫生厕所。</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b/>
                <w:bCs/>
                <w:kern w:val="21"/>
                <w:sz w:val="24"/>
                <w:szCs w:val="24"/>
                <w:highlight w:val="none"/>
                <w:lang w:val="en-US" w:eastAsia="zh-CN"/>
              </w:rPr>
            </w:pPr>
            <w:r>
              <w:rPr>
                <w:rFonts w:hint="eastAsia" w:cs="仿宋"/>
                <w:b/>
                <w:bCs/>
                <w:kern w:val="21"/>
                <w:sz w:val="24"/>
                <w:szCs w:val="24"/>
                <w:highlight w:val="none"/>
                <w:lang w:val="en-US" w:eastAsia="zh-CN"/>
              </w:rPr>
              <w:t>6.村屯绿化美化工程</w:t>
            </w:r>
          </w:p>
          <w:p>
            <w:pPr>
              <w:pStyle w:val="2"/>
              <w:keepNext w:val="0"/>
              <w:keepLines w:val="0"/>
              <w:pageBreakBefore w:val="0"/>
              <w:widowControl w:val="0"/>
              <w:kinsoku/>
              <w:wordWrap/>
              <w:overflowPunct w:val="0"/>
              <w:topLinePunct w:val="0"/>
              <w:bidi w:val="0"/>
              <w:spacing w:line="360" w:lineRule="auto"/>
              <w:ind w:firstLine="560"/>
              <w:jc w:val="both"/>
              <w:rPr>
                <w:rFonts w:hint="eastAsia" w:ascii="仿宋" w:hAnsi="仿宋" w:cs="仿宋"/>
                <w:b w:val="0"/>
                <w:bCs w:val="0"/>
                <w:sz w:val="24"/>
                <w:szCs w:val="24"/>
              </w:rPr>
            </w:pPr>
            <w:r>
              <w:rPr>
                <w:rFonts w:hint="eastAsia" w:ascii="仿宋" w:hAnsi="仿宋" w:cs="仿宋"/>
                <w:b w:val="0"/>
                <w:bCs w:val="0"/>
                <w:sz w:val="24"/>
                <w:szCs w:val="24"/>
              </w:rPr>
              <w:t>到2025年，完成人工造林24000亩，新建及完善提高绿化村屯125个，绿化面积1375亩，绿化覆盖率达到25%。完成乡村精品线路绿化75公里，绿化面积900亩。力争通过发展乡村林业，把广大农村建设成生态良好、环境优美、精神文明、生活富裕的社会主义新农村。</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b/>
                <w:bCs/>
                <w:kern w:val="21"/>
                <w:sz w:val="24"/>
                <w:szCs w:val="24"/>
                <w:highlight w:val="none"/>
                <w:lang w:val="en-US" w:eastAsia="zh-CN"/>
              </w:rPr>
            </w:pPr>
            <w:r>
              <w:rPr>
                <w:rFonts w:hint="eastAsia" w:cs="仿宋"/>
                <w:b/>
                <w:bCs/>
                <w:kern w:val="21"/>
                <w:sz w:val="24"/>
                <w:szCs w:val="24"/>
                <w:highlight w:val="none"/>
                <w:lang w:val="en-US" w:eastAsia="zh-CN"/>
              </w:rPr>
              <w:t>7.“四好农村路”建设项目</w:t>
            </w:r>
          </w:p>
          <w:p>
            <w:pPr>
              <w:keepNext w:val="0"/>
              <w:keepLines w:val="0"/>
              <w:pageBreakBefore w:val="0"/>
              <w:widowControl w:val="0"/>
              <w:kinsoku/>
              <w:wordWrap/>
              <w:overflowPunct w:val="0"/>
              <w:topLinePunct w:val="0"/>
              <w:bidi w:val="0"/>
              <w:spacing w:line="360" w:lineRule="auto"/>
              <w:ind w:firstLine="560"/>
              <w:jc w:val="both"/>
              <w:rPr>
                <w:rFonts w:hint="eastAsia" w:cs="仿宋"/>
                <w:sz w:val="24"/>
                <w:szCs w:val="24"/>
              </w:rPr>
            </w:pPr>
            <w:r>
              <w:rPr>
                <w:rFonts w:hint="eastAsia" w:cs="仿宋"/>
                <w:sz w:val="24"/>
                <w:szCs w:val="24"/>
              </w:rPr>
              <w:t>（1）金秀旅游公路60.9公里工程项目。路线始于金良村</w:t>
            </w:r>
            <w:r>
              <w:rPr>
                <w:rFonts w:hint="eastAsia" w:cs="仿宋"/>
                <w:color w:val="7030A0"/>
                <w:sz w:val="24"/>
                <w:szCs w:val="24"/>
                <w:lang w:eastAsia="zh-CN"/>
              </w:rPr>
              <w:t>，</w:t>
            </w:r>
            <w:r>
              <w:rPr>
                <w:rFonts w:hint="eastAsia" w:cs="仿宋"/>
                <w:sz w:val="24"/>
                <w:szCs w:val="24"/>
              </w:rPr>
              <w:t>经东贤良、保安屯、一马树森林公园、桑树村、官井村、白菜村、小白村、柳条村、八一水库、哈海吐、双山镇、绿化村、秀水村，至逢吉水库为终点。一期工程总投资2374.89万元，打造金良村至双山镇段，路线全长42.4公里，其余路段争取“十四五”末期完成。</w:t>
            </w:r>
          </w:p>
          <w:p>
            <w:pPr>
              <w:keepNext w:val="0"/>
              <w:keepLines w:val="0"/>
              <w:pageBreakBefore w:val="0"/>
              <w:widowControl w:val="0"/>
              <w:kinsoku/>
              <w:wordWrap/>
              <w:overflowPunct w:val="0"/>
              <w:topLinePunct w:val="0"/>
              <w:bidi w:val="0"/>
              <w:spacing w:line="360" w:lineRule="auto"/>
              <w:ind w:firstLine="560"/>
              <w:jc w:val="both"/>
              <w:rPr>
                <w:rFonts w:hint="eastAsia" w:cs="仿宋"/>
                <w:sz w:val="24"/>
                <w:szCs w:val="24"/>
              </w:rPr>
            </w:pPr>
            <w:r>
              <w:rPr>
                <w:rFonts w:hint="eastAsia" w:cs="仿宋"/>
                <w:sz w:val="24"/>
                <w:szCs w:val="24"/>
              </w:rPr>
              <w:t>（2）玻璃山镇玻璃山村经架树台湿地至茂林镇孟益村农村公路精品线路项目。该线路途径玻璃山镇玻璃山村、聚宝村、永安村、种羊场架树台，服先镇向阳村，茂林镇红岗村、大兴村、靠山村、二龙山村、农林村，宏光村、东升村、育林村、丁家村、孟益村。共3个乡镇的14个村，全长74.15公里。“十四五”期间完成连接和修补工程。</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b/>
                <w:bCs/>
                <w:kern w:val="21"/>
                <w:sz w:val="24"/>
                <w:szCs w:val="24"/>
                <w:highlight w:val="none"/>
                <w:lang w:val="en-US" w:eastAsia="zh-CN"/>
              </w:rPr>
            </w:pPr>
            <w:r>
              <w:rPr>
                <w:rFonts w:hint="eastAsia" w:cs="仿宋"/>
                <w:b/>
                <w:bCs/>
                <w:kern w:val="21"/>
                <w:sz w:val="24"/>
                <w:szCs w:val="24"/>
                <w:highlight w:val="none"/>
                <w:lang w:val="en-US" w:eastAsia="zh-CN"/>
              </w:rPr>
              <w:t>8.“千村示范”创建基础设施建设项目</w:t>
            </w:r>
          </w:p>
          <w:p>
            <w:pPr>
              <w:keepNext w:val="0"/>
              <w:keepLines w:val="0"/>
              <w:pageBreakBefore w:val="0"/>
              <w:widowControl w:val="0"/>
              <w:kinsoku/>
              <w:wordWrap/>
              <w:overflowPunct w:val="0"/>
              <w:topLinePunct w:val="0"/>
              <w:bidi w:val="0"/>
              <w:spacing w:line="360" w:lineRule="auto"/>
              <w:ind w:firstLine="560"/>
              <w:jc w:val="both"/>
              <w:rPr>
                <w:rFonts w:hint="eastAsia" w:cs="仿宋"/>
                <w:sz w:val="24"/>
                <w:szCs w:val="24"/>
              </w:rPr>
            </w:pPr>
            <w:r>
              <w:rPr>
                <w:rFonts w:hint="eastAsia" w:cs="仿宋"/>
                <w:sz w:val="24"/>
                <w:szCs w:val="24"/>
              </w:rPr>
              <w:t>投资</w:t>
            </w:r>
            <w:r>
              <w:rPr>
                <w:rFonts w:hint="eastAsia" w:eastAsia="宋体" w:cs="仿宋"/>
                <w:sz w:val="24"/>
                <w:szCs w:val="24"/>
                <w:lang w:val="en-US" w:eastAsia="zh-CN"/>
              </w:rPr>
              <w:t>1.4</w:t>
            </w:r>
            <w:r>
              <w:rPr>
                <w:rFonts w:hint="eastAsia" w:cs="仿宋"/>
                <w:sz w:val="24"/>
                <w:szCs w:val="24"/>
              </w:rPr>
              <w:t>亿元，在18个乡（镇、街）开展农村道路、排水工程、美化工程、围栏工程等基础设施建设，打造高质量绿色基础设施发展体系。项目建成后，农村面貌得到改善，农村基础设施水平全面提升。</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default" w:cs="仿宋"/>
                <w:b/>
                <w:bCs/>
                <w:kern w:val="21"/>
                <w:sz w:val="24"/>
                <w:szCs w:val="24"/>
                <w:highlight w:val="none"/>
                <w:lang w:val="en-US" w:eastAsia="zh-CN"/>
              </w:rPr>
            </w:pPr>
            <w:r>
              <w:rPr>
                <w:rFonts w:hint="eastAsia" w:cs="仿宋"/>
                <w:b/>
                <w:bCs/>
                <w:kern w:val="21"/>
                <w:sz w:val="24"/>
                <w:szCs w:val="24"/>
                <w:highlight w:val="none"/>
                <w:lang w:val="en-US" w:eastAsia="zh-CN"/>
              </w:rPr>
              <w:t>9.双辽市金秀旅游公路工程项目</w:t>
            </w:r>
          </w:p>
          <w:p>
            <w:pPr>
              <w:keepNext w:val="0"/>
              <w:keepLines w:val="0"/>
              <w:pageBreakBefore w:val="0"/>
              <w:widowControl w:val="0"/>
              <w:kinsoku/>
              <w:wordWrap/>
              <w:overflowPunct w:val="0"/>
              <w:topLinePunct w:val="0"/>
              <w:bidi w:val="0"/>
              <w:adjustRightInd w:val="0"/>
              <w:snapToGrid w:val="0"/>
              <w:spacing w:line="360" w:lineRule="auto"/>
              <w:ind w:firstLine="560"/>
              <w:jc w:val="both"/>
              <w:rPr>
                <w:rFonts w:hint="eastAsia" w:cs="仿宋"/>
                <w:b w:val="0"/>
                <w:bCs w:val="0"/>
                <w:kern w:val="21"/>
                <w:sz w:val="24"/>
                <w:szCs w:val="24"/>
                <w:highlight w:val="none"/>
                <w:lang w:val="en-US" w:eastAsia="zh-CN"/>
              </w:rPr>
            </w:pPr>
            <w:r>
              <w:rPr>
                <w:rFonts w:hint="eastAsia" w:cs="仿宋"/>
                <w:b w:val="0"/>
                <w:bCs w:val="0"/>
                <w:kern w:val="21"/>
                <w:sz w:val="24"/>
                <w:szCs w:val="24"/>
                <w:highlight w:val="none"/>
                <w:lang w:val="en-US" w:eastAsia="zh-CN"/>
              </w:rPr>
              <w:t>项目总投资8000万元，在辽东街、红旗街、柳条乡、双山镇开展农村道路、排水工程等基础设施建设活动，打造高质量绿色基础设施发展体系。打造高质量绿色基础设施发展体系，改善农村人居环境，建设美丽宜居乡村。</w:t>
            </w:r>
          </w:p>
          <w:p>
            <w:pPr>
              <w:pStyle w:val="2"/>
              <w:keepNext w:val="0"/>
              <w:keepLines w:val="0"/>
              <w:pageBreakBefore w:val="0"/>
              <w:widowControl w:val="0"/>
              <w:kinsoku/>
              <w:wordWrap/>
              <w:overflowPunct w:val="0"/>
              <w:topLinePunct w:val="0"/>
              <w:bidi w:val="0"/>
              <w:jc w:val="both"/>
            </w:pPr>
          </w:p>
        </w:tc>
      </w:tr>
    </w:tbl>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87" w:name="_Toc4915"/>
      <w:r>
        <w:rPr>
          <w:rFonts w:ascii="楷体" w:hAnsi="楷体" w:eastAsia="楷体" w:cs="楷体"/>
          <w:spacing w:val="0"/>
          <w:sz w:val="32"/>
          <w:szCs w:val="32"/>
        </w:rPr>
        <w:t>（九）深化农业农村改革</w:t>
      </w:r>
      <w:bookmarkEnd w:id="87"/>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40" w:firstLineChars="200"/>
        <w:jc w:val="both"/>
        <w:textAlignment w:val="baseline"/>
        <w:rPr>
          <w:rFonts w:ascii="仿宋" w:hAnsi="仿宋" w:eastAsia="仿宋" w:cs="仿宋"/>
          <w:sz w:val="31"/>
          <w:szCs w:val="31"/>
        </w:rPr>
      </w:pPr>
      <w:r>
        <w:rPr>
          <w:rFonts w:ascii="仿宋" w:hAnsi="仿宋" w:eastAsia="仿宋" w:cs="仿宋"/>
          <w:spacing w:val="5"/>
          <w:sz w:val="31"/>
          <w:szCs w:val="31"/>
        </w:rPr>
        <w:t>聚焦“三农”事业发展，优化营农环境。坚持农村基本经</w:t>
      </w:r>
      <w:r>
        <w:rPr>
          <w:rFonts w:ascii="仿宋" w:hAnsi="仿宋" w:eastAsia="仿宋" w:cs="仿宋"/>
          <w:spacing w:val="10"/>
          <w:sz w:val="31"/>
          <w:szCs w:val="31"/>
        </w:rPr>
        <w:t>营制度，稳慎推进农村土地改革。创新农村集体</w:t>
      </w:r>
      <w:r>
        <w:rPr>
          <w:rFonts w:ascii="仿宋" w:hAnsi="仿宋" w:eastAsia="仿宋" w:cs="仿宋"/>
          <w:spacing w:val="9"/>
          <w:sz w:val="31"/>
          <w:szCs w:val="31"/>
        </w:rPr>
        <w:t>经济有效组织</w:t>
      </w:r>
      <w:r>
        <w:rPr>
          <w:rFonts w:ascii="仿宋" w:hAnsi="仿宋" w:eastAsia="仿宋" w:cs="仿宋"/>
          <w:spacing w:val="10"/>
          <w:sz w:val="31"/>
          <w:szCs w:val="31"/>
        </w:rPr>
        <w:t>形式和运行机制，培育新型农业经营主体。多措</w:t>
      </w:r>
      <w:r>
        <w:rPr>
          <w:rFonts w:ascii="仿宋" w:hAnsi="仿宋" w:eastAsia="仿宋" w:cs="仿宋"/>
          <w:spacing w:val="9"/>
          <w:sz w:val="31"/>
          <w:szCs w:val="31"/>
        </w:rPr>
        <w:t>并举健全农村</w:t>
      </w:r>
      <w:r>
        <w:rPr>
          <w:rFonts w:ascii="仿宋" w:hAnsi="仿宋" w:eastAsia="仿宋" w:cs="仿宋"/>
          <w:spacing w:val="10"/>
          <w:sz w:val="31"/>
          <w:szCs w:val="31"/>
        </w:rPr>
        <w:t>金融服务体系，激活乡村振兴发展动能。健全城</w:t>
      </w:r>
      <w:r>
        <w:rPr>
          <w:rFonts w:ascii="仿宋" w:hAnsi="仿宋" w:eastAsia="仿宋" w:cs="仿宋"/>
          <w:spacing w:val="9"/>
          <w:sz w:val="31"/>
          <w:szCs w:val="31"/>
        </w:rPr>
        <w:t>乡融合发展机</w:t>
      </w:r>
      <w:r>
        <w:rPr>
          <w:rFonts w:ascii="仿宋" w:hAnsi="仿宋" w:eastAsia="仿宋" w:cs="仿宋"/>
          <w:spacing w:val="10"/>
          <w:sz w:val="31"/>
          <w:szCs w:val="31"/>
        </w:rPr>
        <w:t>制，推动城乡要素均衡发展。巩固脱贫攻坚成果</w:t>
      </w:r>
      <w:r>
        <w:rPr>
          <w:rFonts w:ascii="仿宋" w:hAnsi="仿宋" w:eastAsia="仿宋" w:cs="仿宋"/>
          <w:spacing w:val="9"/>
          <w:sz w:val="31"/>
          <w:szCs w:val="31"/>
        </w:rPr>
        <w:t>，加快城乡一</w:t>
      </w:r>
      <w:r>
        <w:rPr>
          <w:rFonts w:ascii="仿宋" w:hAnsi="仿宋" w:eastAsia="仿宋" w:cs="仿宋"/>
          <w:spacing w:val="6"/>
          <w:sz w:val="31"/>
          <w:szCs w:val="31"/>
        </w:rPr>
        <w:t>体振兴。到2025年，农民专业合作社保</w:t>
      </w:r>
      <w:r>
        <w:rPr>
          <w:rFonts w:ascii="仿宋" w:hAnsi="仿宋" w:eastAsia="仿宋" w:cs="仿宋"/>
          <w:spacing w:val="5"/>
          <w:sz w:val="31"/>
          <w:szCs w:val="31"/>
        </w:rPr>
        <w:t>持1500个，国家级农</w:t>
      </w:r>
      <w:r>
        <w:rPr>
          <w:rFonts w:ascii="仿宋" w:hAnsi="仿宋" w:eastAsia="仿宋" w:cs="仿宋"/>
          <w:spacing w:val="6"/>
          <w:sz w:val="31"/>
          <w:szCs w:val="31"/>
        </w:rPr>
        <w:t>民专业合作社示范社认定数量20家。</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34" w:firstLineChars="200"/>
        <w:jc w:val="both"/>
        <w:textAlignment w:val="baseline"/>
        <w:outlineLvl w:val="2"/>
        <w:rPr>
          <w:rFonts w:ascii="仿宋" w:hAnsi="仿宋" w:eastAsia="仿宋" w:cs="仿宋"/>
          <w:sz w:val="31"/>
          <w:szCs w:val="31"/>
        </w:rPr>
      </w:pPr>
      <w:bookmarkStart w:id="88" w:name="_Toc19095"/>
      <w:r>
        <w:rPr>
          <w:rFonts w:ascii="仿宋" w:hAnsi="仿宋" w:eastAsia="仿宋" w:cs="仿宋"/>
          <w:b/>
          <w:bCs/>
          <w:spacing w:val="3"/>
          <w:sz w:val="31"/>
          <w:szCs w:val="31"/>
        </w:rPr>
        <w:t>1.推进农村土地改革</w:t>
      </w:r>
      <w:bookmarkEnd w:id="88"/>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36" w:firstLineChars="200"/>
        <w:jc w:val="both"/>
        <w:textAlignment w:val="baseline"/>
        <w:rPr>
          <w:rFonts w:ascii="仿宋" w:hAnsi="仿宋" w:eastAsia="仿宋" w:cs="仿宋"/>
          <w:spacing w:val="13"/>
          <w:sz w:val="31"/>
          <w:szCs w:val="31"/>
        </w:rPr>
      </w:pPr>
      <w:r>
        <w:rPr>
          <w:rFonts w:ascii="仿宋" w:hAnsi="仿宋" w:eastAsia="仿宋" w:cs="仿宋"/>
          <w:spacing w:val="4"/>
          <w:sz w:val="31"/>
          <w:szCs w:val="31"/>
        </w:rPr>
        <w:t>深化农村土地制度改革。完善农村承包地所有权、承包权、</w:t>
      </w:r>
      <w:r>
        <w:rPr>
          <w:rFonts w:ascii="仿宋" w:hAnsi="仿宋" w:eastAsia="仿宋" w:cs="仿宋"/>
          <w:spacing w:val="9"/>
          <w:sz w:val="31"/>
          <w:szCs w:val="31"/>
        </w:rPr>
        <w:t>经营权“三权分置”制度。加强农村土地流转市场服务体系建</w:t>
      </w:r>
      <w:r>
        <w:rPr>
          <w:rFonts w:ascii="仿宋" w:hAnsi="仿宋" w:eastAsia="仿宋" w:cs="仿宋"/>
          <w:spacing w:val="13"/>
          <w:sz w:val="31"/>
          <w:szCs w:val="31"/>
        </w:rPr>
        <w:t>设，规范农村土地流转行为。进一步规范征地程序，</w:t>
      </w:r>
      <w:r>
        <w:rPr>
          <w:rFonts w:ascii="仿宋" w:hAnsi="仿宋" w:eastAsia="仿宋" w:cs="仿宋"/>
          <w:spacing w:val="12"/>
          <w:sz w:val="31"/>
          <w:szCs w:val="31"/>
        </w:rPr>
        <w:t>完善征地</w:t>
      </w:r>
      <w:r>
        <w:rPr>
          <w:rFonts w:ascii="仿宋" w:hAnsi="仿宋" w:eastAsia="仿宋" w:cs="仿宋"/>
          <w:spacing w:val="13"/>
          <w:sz w:val="31"/>
          <w:szCs w:val="31"/>
        </w:rPr>
        <w:t>补偿机制，保障被征地农民原有生活水平不降低，长</w:t>
      </w:r>
      <w:r>
        <w:rPr>
          <w:rFonts w:ascii="仿宋" w:hAnsi="仿宋" w:eastAsia="仿宋" w:cs="仿宋"/>
          <w:spacing w:val="12"/>
          <w:sz w:val="31"/>
          <w:szCs w:val="31"/>
        </w:rPr>
        <w:t>远生计有</w:t>
      </w:r>
      <w:r>
        <w:rPr>
          <w:rFonts w:ascii="仿宋" w:hAnsi="仿宋" w:eastAsia="仿宋" w:cs="仿宋"/>
          <w:spacing w:val="13"/>
          <w:sz w:val="31"/>
          <w:szCs w:val="31"/>
        </w:rPr>
        <w:t>保障。加快开展房地一体的农村宅基地确权登记颁证工作，探索宅基地所有权、资格权、使用权“三权分置”。鼓励社会资本与农户、农村集体经济组织合作对闲置农房进行改造，允许进城落户的村民依法自愿有偿退出宅基地，鼓励农村集体经济组织及其成员盘活利用闲置宅基地和闲置住宅。</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42" w:firstLineChars="200"/>
        <w:jc w:val="both"/>
        <w:textAlignment w:val="baseline"/>
        <w:outlineLvl w:val="2"/>
        <w:rPr>
          <w:rFonts w:ascii="仿宋" w:hAnsi="仿宋" w:eastAsia="仿宋" w:cs="仿宋"/>
          <w:sz w:val="31"/>
          <w:szCs w:val="31"/>
        </w:rPr>
      </w:pPr>
      <w:bookmarkStart w:id="89" w:name="_Toc27279"/>
      <w:r>
        <w:rPr>
          <w:rFonts w:ascii="仿宋" w:hAnsi="仿宋" w:eastAsia="仿宋" w:cs="仿宋"/>
          <w:b/>
          <w:bCs/>
          <w:spacing w:val="5"/>
          <w:sz w:val="31"/>
          <w:szCs w:val="31"/>
        </w:rPr>
        <w:t>2.培育新型农业经营主体</w:t>
      </w:r>
      <w:bookmarkEnd w:id="89"/>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68" w:firstLineChars="200"/>
        <w:jc w:val="both"/>
        <w:textAlignment w:val="baseline"/>
        <w:rPr>
          <w:rFonts w:ascii="仿宋" w:hAnsi="仿宋" w:eastAsia="仿宋" w:cs="仿宋"/>
          <w:sz w:val="31"/>
          <w:szCs w:val="31"/>
        </w:rPr>
      </w:pPr>
      <w:r>
        <w:rPr>
          <w:rFonts w:ascii="仿宋" w:hAnsi="仿宋" w:eastAsia="仿宋" w:cs="仿宋"/>
          <w:spacing w:val="12"/>
          <w:sz w:val="31"/>
          <w:szCs w:val="31"/>
        </w:rPr>
        <w:t>围绕种粮大户扩大规模、家庭农场质量提升、示范合作社</w:t>
      </w:r>
      <w:r>
        <w:rPr>
          <w:rFonts w:ascii="仿宋" w:hAnsi="仿宋" w:eastAsia="仿宋" w:cs="仿宋"/>
          <w:spacing w:val="13"/>
          <w:sz w:val="31"/>
          <w:szCs w:val="31"/>
        </w:rPr>
        <w:t>创建、农民专业合作社及农业产业化龙头企业培育，全面推进新型农业经营主体培育工作。规范化组建农民专业合作社联合社，建立风险共担、利益共享、命运与共的利益共同体，提升组织化程度，全力打造示范合作社和示范家庭农场。积极吸纳工商资本、社会资金投资农业二三产业，引导农业企业以品牌嫁接、资本运作、产业延伸等形式联合重组，鼓励有条件的农业企业上市，培育一批产业关联度大、带动力强的骨干龙头企</w:t>
      </w:r>
      <w:r>
        <w:rPr>
          <w:rFonts w:ascii="仿宋" w:hAnsi="仿宋" w:eastAsia="仿宋" w:cs="仿宋"/>
          <w:spacing w:val="7"/>
          <w:sz w:val="31"/>
          <w:szCs w:val="31"/>
        </w:rPr>
        <w:t>业。积极培育专业化、市场化服务组织，加快完善“龙头企业+合作社+基地”农业社会化服务体系。扶持双辽市双英花生种植</w:t>
      </w:r>
      <w:r>
        <w:rPr>
          <w:rFonts w:ascii="仿宋" w:hAnsi="仿宋" w:eastAsia="仿宋" w:cs="仿宋"/>
          <w:spacing w:val="13"/>
          <w:sz w:val="31"/>
          <w:szCs w:val="31"/>
        </w:rPr>
        <w:t>专业合作社等一批示范社做大做强，更好发挥示范引领作用。</w:t>
      </w:r>
      <w:r>
        <w:rPr>
          <w:rFonts w:ascii="仿宋" w:hAnsi="仿宋" w:eastAsia="仿宋" w:cs="仿宋"/>
          <w:spacing w:val="7"/>
          <w:sz w:val="31"/>
          <w:szCs w:val="31"/>
        </w:rPr>
        <w:t>到2025年，全市农户入社比重达到40</w:t>
      </w:r>
      <w:r>
        <w:rPr>
          <w:rFonts w:ascii="仿宋" w:hAnsi="仿宋" w:eastAsia="仿宋" w:cs="仿宋"/>
          <w:spacing w:val="-17"/>
          <w:sz w:val="31"/>
          <w:szCs w:val="31"/>
        </w:rPr>
        <w:t>％，</w:t>
      </w:r>
      <w:r>
        <w:rPr>
          <w:rFonts w:ascii="仿宋" w:hAnsi="仿宋" w:eastAsia="仿宋" w:cs="仿宋"/>
          <w:spacing w:val="7"/>
          <w:sz w:val="31"/>
          <w:szCs w:val="31"/>
        </w:rPr>
        <w:t>全市适度规模经营面</w:t>
      </w:r>
      <w:r>
        <w:rPr>
          <w:rFonts w:ascii="仿宋" w:hAnsi="仿宋" w:eastAsia="仿宋" w:cs="仿宋"/>
          <w:spacing w:val="4"/>
          <w:sz w:val="31"/>
          <w:szCs w:val="31"/>
        </w:rPr>
        <w:t>积占比达到70%。</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42" w:firstLineChars="200"/>
        <w:jc w:val="both"/>
        <w:textAlignment w:val="baseline"/>
        <w:outlineLvl w:val="2"/>
        <w:rPr>
          <w:rFonts w:ascii="仿宋" w:hAnsi="仿宋" w:eastAsia="仿宋" w:cs="仿宋"/>
          <w:sz w:val="31"/>
          <w:szCs w:val="31"/>
        </w:rPr>
      </w:pPr>
      <w:bookmarkStart w:id="90" w:name="_Toc17133"/>
      <w:r>
        <w:rPr>
          <w:rFonts w:ascii="仿宋" w:hAnsi="仿宋" w:eastAsia="仿宋" w:cs="仿宋"/>
          <w:b/>
          <w:bCs/>
          <w:spacing w:val="5"/>
          <w:sz w:val="31"/>
          <w:szCs w:val="31"/>
        </w:rPr>
        <w:t>3.发展壮大农村集体经济</w:t>
      </w:r>
      <w:bookmarkEnd w:id="90"/>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探索建立农村集体资产监督管理服务体系，健全农村集体</w:t>
      </w:r>
      <w:r>
        <w:rPr>
          <w:rFonts w:ascii="仿宋" w:hAnsi="仿宋" w:eastAsia="仿宋" w:cs="仿宋"/>
          <w:spacing w:val="9"/>
          <w:sz w:val="31"/>
          <w:szCs w:val="31"/>
        </w:rPr>
        <w:t>资产、资金、资源管理制度，提升村集体“三资”管理水平。</w:t>
      </w:r>
      <w:r>
        <w:rPr>
          <w:rFonts w:ascii="仿宋" w:hAnsi="仿宋" w:eastAsia="仿宋" w:cs="仿宋"/>
          <w:spacing w:val="12"/>
          <w:sz w:val="31"/>
          <w:szCs w:val="31"/>
        </w:rPr>
        <w:t>深化农村集体产权制度改革，探索建立集体经济组织成员登记</w:t>
      </w:r>
      <w:r>
        <w:rPr>
          <w:rFonts w:ascii="仿宋" w:hAnsi="仿宋" w:eastAsia="仿宋" w:cs="仿宋"/>
          <w:spacing w:val="13"/>
          <w:sz w:val="31"/>
          <w:szCs w:val="31"/>
        </w:rPr>
        <w:t>备案制度，推进资源变资产、资金变股金、</w:t>
      </w:r>
      <w:r>
        <w:rPr>
          <w:rFonts w:ascii="仿宋" w:hAnsi="仿宋" w:eastAsia="仿宋" w:cs="仿宋"/>
          <w:spacing w:val="12"/>
          <w:sz w:val="31"/>
          <w:szCs w:val="31"/>
        </w:rPr>
        <w:t>农民变股东，采取</w:t>
      </w:r>
      <w:r>
        <w:rPr>
          <w:rFonts w:ascii="仿宋" w:hAnsi="仿宋" w:eastAsia="仿宋" w:cs="仿宋"/>
          <w:spacing w:val="5"/>
          <w:sz w:val="31"/>
          <w:szCs w:val="31"/>
        </w:rPr>
        <w:t>出租、股份合作、信托经营等方式，量化、</w:t>
      </w:r>
      <w:r>
        <w:rPr>
          <w:rFonts w:ascii="仿宋" w:hAnsi="仿宋" w:eastAsia="仿宋" w:cs="仿宋"/>
          <w:spacing w:val="4"/>
          <w:sz w:val="31"/>
          <w:szCs w:val="31"/>
        </w:rPr>
        <w:t>盘活农村集体资产。</w:t>
      </w:r>
      <w:r>
        <w:rPr>
          <w:rFonts w:ascii="仿宋" w:hAnsi="仿宋" w:eastAsia="仿宋" w:cs="仿宋"/>
          <w:spacing w:val="13"/>
          <w:sz w:val="31"/>
          <w:szCs w:val="31"/>
        </w:rPr>
        <w:t>探索新型农村集体经济发展路径，大力发展资源开发型、资产经营型、农业服务型、旅游开发型集体经济，在符合国土空间规划前提下，通过村庄整治、土地整理等方式节余的农村集体建设用地，优先用于发展乡村产业项目，加强开放合</w:t>
      </w:r>
      <w:r>
        <w:rPr>
          <w:rFonts w:ascii="仿宋" w:hAnsi="仿宋" w:eastAsia="仿宋" w:cs="仿宋"/>
          <w:spacing w:val="12"/>
          <w:sz w:val="31"/>
          <w:szCs w:val="31"/>
        </w:rPr>
        <w:t>作，依托</w:t>
      </w:r>
      <w:r>
        <w:rPr>
          <w:rFonts w:ascii="仿宋" w:hAnsi="仿宋" w:eastAsia="仿宋" w:cs="仿宋"/>
          <w:spacing w:val="13"/>
          <w:sz w:val="31"/>
          <w:szCs w:val="31"/>
        </w:rPr>
        <w:t>双辽地处蒙吉辽特殊区位交通优势，利用村集体基础，吸引社会资本投资发展集体经济，鼓励村集体以集体资产参股农民专业合作社和经营稳健的工商企业，鼓励有条件的村集体与其他</w:t>
      </w:r>
      <w:r>
        <w:rPr>
          <w:rFonts w:ascii="仿宋" w:hAnsi="仿宋" w:eastAsia="仿宋" w:cs="仿宋"/>
          <w:spacing w:val="5"/>
          <w:sz w:val="31"/>
          <w:szCs w:val="31"/>
        </w:rPr>
        <w:t>经济主体发展混合所有制经济项目，不断增</w:t>
      </w:r>
      <w:r>
        <w:rPr>
          <w:rFonts w:ascii="仿宋" w:hAnsi="仿宋" w:eastAsia="仿宋" w:cs="仿宋"/>
          <w:spacing w:val="4"/>
          <w:sz w:val="31"/>
          <w:szCs w:val="31"/>
        </w:rPr>
        <w:t>强村集体经济实力。</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46" w:firstLineChars="200"/>
        <w:jc w:val="both"/>
        <w:textAlignment w:val="baseline"/>
        <w:outlineLvl w:val="2"/>
        <w:rPr>
          <w:rFonts w:ascii="仿宋" w:hAnsi="仿宋" w:eastAsia="仿宋" w:cs="仿宋"/>
          <w:sz w:val="31"/>
          <w:szCs w:val="31"/>
        </w:rPr>
      </w:pPr>
      <w:bookmarkStart w:id="91" w:name="_Toc12527"/>
      <w:r>
        <w:rPr>
          <w:rFonts w:ascii="仿宋" w:hAnsi="仿宋" w:eastAsia="仿宋" w:cs="仿宋"/>
          <w:b/>
          <w:bCs/>
          <w:spacing w:val="6"/>
          <w:sz w:val="31"/>
          <w:szCs w:val="31"/>
        </w:rPr>
        <w:t>4.健全完善农村金融服务体系</w:t>
      </w:r>
      <w:bookmarkEnd w:id="91"/>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76" w:firstLineChars="200"/>
        <w:jc w:val="both"/>
        <w:textAlignment w:val="baseline"/>
        <w:rPr>
          <w:rFonts w:ascii="仿宋" w:hAnsi="仿宋" w:eastAsia="仿宋" w:cs="仿宋"/>
          <w:sz w:val="31"/>
          <w:szCs w:val="31"/>
        </w:rPr>
      </w:pPr>
      <w:r>
        <w:rPr>
          <w:rFonts w:ascii="仿宋" w:hAnsi="仿宋" w:eastAsia="仿宋" w:cs="仿宋"/>
          <w:spacing w:val="14"/>
          <w:sz w:val="31"/>
          <w:szCs w:val="31"/>
        </w:rPr>
        <w:t>发展乡村普惠金融，加快建设村级金融基础服务站网点，</w:t>
      </w:r>
      <w:r>
        <w:rPr>
          <w:rFonts w:ascii="仿宋" w:hAnsi="仿宋" w:eastAsia="仿宋" w:cs="仿宋"/>
          <w:spacing w:val="13"/>
          <w:sz w:val="31"/>
          <w:szCs w:val="31"/>
        </w:rPr>
        <w:t>推动小额贷款、融资性担保、融资租赁等机构有序发展。综合运用奖励、补贴、税收优惠、结构性调控等政策工具，支持金</w:t>
      </w:r>
      <w:r>
        <w:rPr>
          <w:rFonts w:ascii="仿宋" w:hAnsi="仿宋" w:eastAsia="仿宋" w:cs="仿宋"/>
          <w:spacing w:val="9"/>
          <w:sz w:val="31"/>
          <w:szCs w:val="31"/>
        </w:rPr>
        <w:t>融机构服务“三农”。健全完善农村征信系统，鼓励和引导金</w:t>
      </w:r>
      <w:r>
        <w:rPr>
          <w:rFonts w:ascii="仿宋" w:hAnsi="仿宋" w:eastAsia="仿宋" w:cs="仿宋"/>
          <w:spacing w:val="13"/>
          <w:sz w:val="31"/>
          <w:szCs w:val="31"/>
        </w:rPr>
        <w:t>融机构依法合规开展土地承包经营权、农民住房财产权以及林</w:t>
      </w:r>
      <w:r>
        <w:rPr>
          <w:rFonts w:ascii="仿宋" w:hAnsi="仿宋" w:eastAsia="仿宋" w:cs="仿宋"/>
          <w:spacing w:val="11"/>
          <w:sz w:val="31"/>
          <w:szCs w:val="31"/>
        </w:rPr>
        <w:t>权抵押贷款业务，创新开展动产抵押融资业务，积极推</w:t>
      </w:r>
      <w:r>
        <w:rPr>
          <w:rFonts w:ascii="仿宋" w:hAnsi="仿宋" w:eastAsia="仿宋" w:cs="仿宋"/>
          <w:spacing w:val="10"/>
          <w:sz w:val="31"/>
          <w:szCs w:val="31"/>
        </w:rPr>
        <w:t>广“农</w:t>
      </w:r>
      <w:r>
        <w:rPr>
          <w:rFonts w:ascii="仿宋" w:hAnsi="仿宋" w:eastAsia="仿宋" w:cs="仿宋"/>
          <w:spacing w:val="7"/>
          <w:sz w:val="31"/>
          <w:szCs w:val="31"/>
        </w:rPr>
        <w:t>地贷”“吉农牧贷”“棚膜贷”“农权贷”等信贷产品，探索</w:t>
      </w:r>
      <w:r>
        <w:rPr>
          <w:rFonts w:ascii="仿宋" w:hAnsi="仿宋" w:eastAsia="仿宋" w:cs="仿宋"/>
          <w:spacing w:val="13"/>
          <w:sz w:val="31"/>
          <w:szCs w:val="31"/>
        </w:rPr>
        <w:t>开发新型信用类金融支农产品。建立健全融资风险补偿机制和</w:t>
      </w:r>
      <w:r>
        <w:rPr>
          <w:rFonts w:ascii="仿宋" w:hAnsi="仿宋" w:eastAsia="仿宋" w:cs="仿宋"/>
          <w:spacing w:val="11"/>
          <w:sz w:val="31"/>
          <w:szCs w:val="31"/>
        </w:rPr>
        <w:t>风险分担机制，积极推动农业保险“提标、扩面、增品”</w:t>
      </w:r>
      <w:r>
        <w:rPr>
          <w:rFonts w:ascii="仿宋" w:hAnsi="仿宋" w:eastAsia="仿宋" w:cs="仿宋"/>
          <w:spacing w:val="10"/>
          <w:sz w:val="31"/>
          <w:szCs w:val="31"/>
        </w:rPr>
        <w:t>，推</w:t>
      </w:r>
      <w:r>
        <w:rPr>
          <w:rFonts w:ascii="仿宋" w:hAnsi="仿宋" w:eastAsia="仿宋" w:cs="仿宋"/>
          <w:spacing w:val="13"/>
          <w:sz w:val="31"/>
          <w:szCs w:val="31"/>
        </w:rPr>
        <w:t>进农业大灾保险全覆盖，力争成为完全成本保险和收入保险试</w:t>
      </w:r>
      <w:r>
        <w:rPr>
          <w:rFonts w:ascii="仿宋" w:hAnsi="仿宋" w:eastAsia="仿宋" w:cs="仿宋"/>
          <w:spacing w:val="4"/>
          <w:sz w:val="31"/>
          <w:szCs w:val="31"/>
        </w:rPr>
        <w:t>点。完善农村金融风险防范处置机制，加强金融风险防范措施，</w:t>
      </w:r>
      <w:r>
        <w:rPr>
          <w:rFonts w:ascii="仿宋" w:hAnsi="仿宋" w:eastAsia="仿宋" w:cs="仿宋"/>
          <w:spacing w:val="8"/>
          <w:sz w:val="31"/>
          <w:szCs w:val="31"/>
        </w:rPr>
        <w:t>守住不发生系统性金融风险底线。</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0"/>
        <w:rPr>
          <w:rFonts w:ascii="黑体" w:hAnsi="黑体" w:eastAsia="黑体" w:cs="黑体"/>
          <w:spacing w:val="0"/>
          <w:sz w:val="32"/>
          <w:szCs w:val="32"/>
        </w:rPr>
      </w:pPr>
      <w:bookmarkStart w:id="92" w:name="bookmark41"/>
      <w:bookmarkEnd w:id="92"/>
      <w:bookmarkStart w:id="93" w:name="_Toc25035"/>
      <w:r>
        <w:rPr>
          <w:rFonts w:ascii="黑体" w:hAnsi="黑体" w:eastAsia="黑体" w:cs="黑体"/>
          <w:spacing w:val="0"/>
          <w:sz w:val="32"/>
          <w:szCs w:val="32"/>
        </w:rPr>
        <w:t>五、保障措施</w:t>
      </w:r>
      <w:bookmarkEnd w:id="93"/>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94" w:name="bookmark43"/>
      <w:bookmarkEnd w:id="94"/>
      <w:bookmarkStart w:id="95" w:name="_Toc32259"/>
      <w:r>
        <w:rPr>
          <w:rFonts w:ascii="楷体" w:hAnsi="楷体" w:eastAsia="楷体" w:cs="楷体"/>
          <w:spacing w:val="0"/>
          <w:sz w:val="32"/>
          <w:szCs w:val="32"/>
        </w:rPr>
        <w:t>（一）加强组织领导</w:t>
      </w:r>
      <w:bookmarkEnd w:id="95"/>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72" w:firstLineChars="200"/>
        <w:jc w:val="both"/>
        <w:textAlignment w:val="baseline"/>
        <w:rPr>
          <w:rFonts w:ascii="仿宋" w:hAnsi="仿宋" w:eastAsia="仿宋" w:cs="仿宋"/>
          <w:sz w:val="31"/>
          <w:szCs w:val="31"/>
        </w:rPr>
      </w:pPr>
      <w:r>
        <w:rPr>
          <w:rFonts w:ascii="仿宋" w:hAnsi="仿宋" w:eastAsia="仿宋" w:cs="仿宋"/>
          <w:spacing w:val="13"/>
          <w:sz w:val="31"/>
          <w:szCs w:val="31"/>
        </w:rPr>
        <w:t>建立健全党委政府领导、部门齐抓共管、分工协作配合的工作机制，形成上下贯通、运转高效的组织领导体系，为规划</w:t>
      </w:r>
      <w:r>
        <w:rPr>
          <w:rFonts w:ascii="仿宋" w:hAnsi="仿宋" w:eastAsia="仿宋" w:cs="仿宋"/>
          <w:spacing w:val="11"/>
          <w:sz w:val="31"/>
          <w:szCs w:val="31"/>
        </w:rPr>
        <w:t>实施提供组织保障。完善和提升乡村治理体系建设，健</w:t>
      </w:r>
      <w:r>
        <w:rPr>
          <w:rFonts w:ascii="仿宋" w:hAnsi="仿宋" w:eastAsia="仿宋" w:cs="仿宋"/>
          <w:spacing w:val="10"/>
          <w:sz w:val="31"/>
          <w:szCs w:val="31"/>
        </w:rPr>
        <w:t>全党委</w:t>
      </w:r>
      <w:r>
        <w:rPr>
          <w:rFonts w:ascii="仿宋" w:hAnsi="仿宋" w:eastAsia="仿宋" w:cs="仿宋"/>
          <w:spacing w:val="13"/>
          <w:sz w:val="31"/>
          <w:szCs w:val="31"/>
        </w:rPr>
        <w:t>领导、政府负责、社会协同、公众参与、法治保障的现代乡村社会治理体制，实现乡村治理有效提升，推动自治、法治、德治有机结合，打造充满活力、和谐有序的善治乡村，努力实现</w:t>
      </w:r>
      <w:r>
        <w:rPr>
          <w:rFonts w:ascii="仿宋" w:hAnsi="仿宋" w:eastAsia="仿宋" w:cs="仿宋"/>
          <w:spacing w:val="8"/>
          <w:sz w:val="31"/>
          <w:szCs w:val="31"/>
        </w:rPr>
        <w:t>乡村组织振兴。</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96" w:name="bookmark45"/>
      <w:bookmarkEnd w:id="96"/>
      <w:bookmarkStart w:id="97" w:name="_Toc32420"/>
      <w:r>
        <w:rPr>
          <w:rFonts w:ascii="楷体" w:hAnsi="楷体" w:eastAsia="楷体" w:cs="楷体"/>
          <w:spacing w:val="0"/>
          <w:sz w:val="32"/>
          <w:szCs w:val="32"/>
        </w:rPr>
        <w:t>（二）强化政策落实</w:t>
      </w:r>
      <w:bookmarkEnd w:id="97"/>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32" w:firstLineChars="200"/>
        <w:jc w:val="both"/>
        <w:textAlignment w:val="baseline"/>
        <w:rPr>
          <w:rFonts w:ascii="仿宋" w:hAnsi="仿宋" w:eastAsia="仿宋" w:cs="仿宋"/>
          <w:sz w:val="31"/>
          <w:szCs w:val="31"/>
        </w:rPr>
      </w:pPr>
      <w:r>
        <w:rPr>
          <w:rFonts w:ascii="仿宋" w:hAnsi="仿宋" w:eastAsia="仿宋" w:cs="仿宋"/>
          <w:spacing w:val="3"/>
          <w:sz w:val="31"/>
          <w:szCs w:val="31"/>
        </w:rPr>
        <w:t>营造惠农政策宣传环境，大力宣传和落实新时期国家、省、</w:t>
      </w:r>
      <w:r>
        <w:rPr>
          <w:rFonts w:ascii="仿宋" w:hAnsi="仿宋" w:eastAsia="仿宋" w:cs="仿宋"/>
          <w:spacing w:val="10"/>
          <w:sz w:val="31"/>
          <w:szCs w:val="31"/>
        </w:rPr>
        <w:t>市各项强农惠农政策，让各项政策家喻户晓、受益于民。完善</w:t>
      </w:r>
      <w:r>
        <w:rPr>
          <w:rFonts w:ascii="仿宋" w:hAnsi="仿宋" w:eastAsia="仿宋" w:cs="仿宋"/>
          <w:spacing w:val="13"/>
          <w:sz w:val="31"/>
          <w:szCs w:val="31"/>
        </w:rPr>
        <w:t>落实惠农护农的政策措施，形成有利于实现农业农村</w:t>
      </w:r>
      <w:r>
        <w:rPr>
          <w:rFonts w:ascii="仿宋" w:hAnsi="仿宋" w:eastAsia="仿宋" w:cs="仿宋"/>
          <w:spacing w:val="12"/>
          <w:sz w:val="31"/>
          <w:szCs w:val="31"/>
        </w:rPr>
        <w:t>现代化的</w:t>
      </w:r>
      <w:r>
        <w:rPr>
          <w:rFonts w:ascii="仿宋" w:hAnsi="仿宋" w:eastAsia="仿宋" w:cs="仿宋"/>
          <w:spacing w:val="5"/>
          <w:sz w:val="31"/>
          <w:szCs w:val="31"/>
        </w:rPr>
        <w:t>长效机制和制度体系。围绕加快发展现代农业，落实</w:t>
      </w:r>
      <w:r>
        <w:rPr>
          <w:rFonts w:ascii="仿宋" w:hAnsi="仿宋" w:eastAsia="仿宋" w:cs="仿宋"/>
          <w:spacing w:val="4"/>
          <w:sz w:val="31"/>
          <w:szCs w:val="31"/>
        </w:rPr>
        <w:t>农业补贴、</w:t>
      </w:r>
      <w:r>
        <w:rPr>
          <w:rFonts w:ascii="仿宋" w:hAnsi="仿宋" w:eastAsia="仿宋" w:cs="仿宋"/>
          <w:spacing w:val="13"/>
          <w:sz w:val="31"/>
          <w:szCs w:val="31"/>
        </w:rPr>
        <w:t>粮食主产区奖励、黑土地保护、社会化服务体系建设</w:t>
      </w:r>
      <w:r>
        <w:rPr>
          <w:rFonts w:ascii="仿宋" w:hAnsi="仿宋" w:eastAsia="仿宋" w:cs="仿宋"/>
          <w:spacing w:val="12"/>
          <w:sz w:val="31"/>
          <w:szCs w:val="31"/>
        </w:rPr>
        <w:t>、农业结</w:t>
      </w:r>
      <w:r>
        <w:rPr>
          <w:rFonts w:ascii="仿宋" w:hAnsi="仿宋" w:eastAsia="仿宋" w:cs="仿宋"/>
          <w:spacing w:val="10"/>
          <w:sz w:val="31"/>
          <w:szCs w:val="31"/>
        </w:rPr>
        <w:t>构调整等方面的政策，推动农业发展方式转变。围绕加速乡村</w:t>
      </w:r>
      <w:r>
        <w:rPr>
          <w:rFonts w:ascii="仿宋" w:hAnsi="仿宋" w:eastAsia="仿宋" w:cs="仿宋"/>
          <w:spacing w:val="13"/>
          <w:sz w:val="31"/>
          <w:szCs w:val="31"/>
        </w:rPr>
        <w:t>振兴，完善落实农村产业支持政策、财政金融政策、</w:t>
      </w:r>
      <w:r>
        <w:rPr>
          <w:rFonts w:ascii="仿宋" w:hAnsi="仿宋" w:eastAsia="仿宋" w:cs="仿宋"/>
          <w:spacing w:val="12"/>
          <w:sz w:val="31"/>
          <w:szCs w:val="31"/>
        </w:rPr>
        <w:t>公共服务</w:t>
      </w:r>
      <w:r>
        <w:rPr>
          <w:rFonts w:ascii="仿宋" w:hAnsi="仿宋" w:eastAsia="仿宋" w:cs="仿宋"/>
          <w:spacing w:val="10"/>
          <w:sz w:val="31"/>
          <w:szCs w:val="31"/>
        </w:rPr>
        <w:t>政策和推动农村基础设施建设、农村人居环境综合整治、乡村治理、社会事业发展等政策。围绕增加农民收入，完善农民就</w:t>
      </w:r>
      <w:r>
        <w:rPr>
          <w:rFonts w:ascii="仿宋" w:hAnsi="仿宋" w:eastAsia="仿宋" w:cs="仿宋"/>
          <w:spacing w:val="13"/>
          <w:sz w:val="31"/>
          <w:szCs w:val="31"/>
        </w:rPr>
        <w:t>业增收政策。建立农村人居环境综合整治长效机制，</w:t>
      </w:r>
      <w:r>
        <w:rPr>
          <w:rFonts w:ascii="仿宋" w:hAnsi="仿宋" w:eastAsia="仿宋" w:cs="仿宋"/>
          <w:spacing w:val="12"/>
          <w:sz w:val="31"/>
          <w:szCs w:val="31"/>
        </w:rPr>
        <w:t>健全农村</w:t>
      </w:r>
      <w:r>
        <w:rPr>
          <w:rFonts w:ascii="仿宋" w:hAnsi="仿宋" w:eastAsia="仿宋" w:cs="仿宋"/>
          <w:spacing w:val="13"/>
          <w:sz w:val="31"/>
          <w:szCs w:val="31"/>
        </w:rPr>
        <w:t>义务教育和公共医疗、文化、社会保障以及社区服务</w:t>
      </w:r>
      <w:r>
        <w:rPr>
          <w:rFonts w:ascii="仿宋" w:hAnsi="仿宋" w:eastAsia="仿宋" w:cs="仿宋"/>
          <w:spacing w:val="12"/>
          <w:sz w:val="31"/>
          <w:szCs w:val="31"/>
        </w:rPr>
        <w:t>、巩固拓</w:t>
      </w:r>
      <w:r>
        <w:rPr>
          <w:rFonts w:ascii="仿宋" w:hAnsi="仿宋" w:eastAsia="仿宋" w:cs="仿宋"/>
          <w:spacing w:val="13"/>
          <w:sz w:val="31"/>
          <w:szCs w:val="31"/>
        </w:rPr>
        <w:t>展脱贫攻坚成果等基本公共服务供给保障机制。健全</w:t>
      </w:r>
      <w:r>
        <w:rPr>
          <w:rFonts w:ascii="仿宋" w:hAnsi="仿宋" w:eastAsia="仿宋" w:cs="仿宋"/>
          <w:spacing w:val="12"/>
          <w:sz w:val="31"/>
          <w:szCs w:val="31"/>
        </w:rPr>
        <w:t>土地制度</w:t>
      </w:r>
      <w:r>
        <w:rPr>
          <w:rFonts w:ascii="仿宋" w:hAnsi="仿宋" w:eastAsia="仿宋" w:cs="仿宋"/>
          <w:spacing w:val="8"/>
          <w:sz w:val="31"/>
          <w:szCs w:val="31"/>
        </w:rPr>
        <w:t>改革和城乡融合发展机制。</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98" w:name="bookmark47"/>
      <w:bookmarkEnd w:id="98"/>
      <w:bookmarkStart w:id="99" w:name="_Toc6100"/>
      <w:r>
        <w:rPr>
          <w:rFonts w:ascii="楷体" w:hAnsi="楷体" w:eastAsia="楷体" w:cs="楷体"/>
          <w:spacing w:val="0"/>
          <w:sz w:val="32"/>
          <w:szCs w:val="32"/>
        </w:rPr>
        <w:t>（三）加大财政支持</w:t>
      </w:r>
      <w:bookmarkEnd w:id="99"/>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56" w:firstLineChars="200"/>
        <w:jc w:val="both"/>
        <w:textAlignment w:val="baseline"/>
        <w:rPr>
          <w:rFonts w:ascii="仿宋" w:hAnsi="仿宋" w:eastAsia="仿宋" w:cs="仿宋"/>
          <w:sz w:val="31"/>
          <w:szCs w:val="31"/>
        </w:rPr>
      </w:pPr>
      <w:r>
        <w:rPr>
          <w:rFonts w:ascii="仿宋" w:hAnsi="仿宋" w:eastAsia="仿宋" w:cs="仿宋"/>
          <w:spacing w:val="9"/>
          <w:sz w:val="31"/>
          <w:szCs w:val="31"/>
        </w:rPr>
        <w:t>继续加大财政支农投入力度，按照总量持续增加、比例稳</w:t>
      </w:r>
      <w:r>
        <w:rPr>
          <w:rFonts w:ascii="仿宋" w:hAnsi="仿宋" w:eastAsia="仿宋" w:cs="仿宋"/>
          <w:spacing w:val="6"/>
          <w:sz w:val="31"/>
          <w:szCs w:val="31"/>
        </w:rPr>
        <w:t>步提高的要求，不断增加“三农”投入。乡镇以上地方财政每</w:t>
      </w:r>
      <w:r>
        <w:rPr>
          <w:rFonts w:ascii="仿宋" w:hAnsi="仿宋" w:eastAsia="仿宋" w:cs="仿宋"/>
          <w:spacing w:val="25"/>
          <w:sz w:val="31"/>
          <w:szCs w:val="31"/>
        </w:rPr>
        <w:t>年对农业的总投入增长幅度应高于其财政经常性收入增长幅</w:t>
      </w:r>
      <w:r>
        <w:rPr>
          <w:rFonts w:ascii="仿宋" w:hAnsi="仿宋" w:eastAsia="仿宋" w:cs="仿宋"/>
          <w:spacing w:val="11"/>
          <w:sz w:val="31"/>
          <w:szCs w:val="31"/>
        </w:rPr>
        <w:t>度，预算内固定资产投资向重大农业农村建设项</w:t>
      </w:r>
      <w:r>
        <w:rPr>
          <w:rFonts w:ascii="仿宋" w:hAnsi="仿宋" w:eastAsia="仿宋" w:cs="仿宋"/>
          <w:spacing w:val="10"/>
          <w:sz w:val="31"/>
          <w:szCs w:val="31"/>
        </w:rPr>
        <w:t>目倾斜。强化</w:t>
      </w:r>
      <w:r>
        <w:rPr>
          <w:rFonts w:ascii="仿宋" w:hAnsi="仿宋" w:eastAsia="仿宋" w:cs="仿宋"/>
          <w:spacing w:val="13"/>
          <w:sz w:val="31"/>
          <w:szCs w:val="31"/>
        </w:rPr>
        <w:t>与上级政府农业投资体系改革衔接，在现代种业提升、农业科</w:t>
      </w:r>
      <w:r>
        <w:rPr>
          <w:rFonts w:ascii="仿宋" w:hAnsi="仿宋" w:eastAsia="仿宋" w:cs="仿宋"/>
          <w:spacing w:val="5"/>
          <w:sz w:val="31"/>
          <w:szCs w:val="31"/>
        </w:rPr>
        <w:t>技创新条件改善、农业执法监管能力建设、农业生产安全保障、</w:t>
      </w:r>
      <w:r>
        <w:rPr>
          <w:rFonts w:ascii="仿宋" w:hAnsi="仿宋" w:eastAsia="仿宋" w:cs="仿宋"/>
          <w:spacing w:val="13"/>
          <w:sz w:val="31"/>
          <w:szCs w:val="31"/>
        </w:rPr>
        <w:t>高标准农田建设、种养结合循环农业、农业资源与生态环境保护等领域加强与中央财政支持政策对接。进一步改善农业农村信用结构，积极探索推进农业投融资模式创新，拓宽农业发展资金来源渠道。鼓励社会资本投资农业农村建设的不同领域和</w:t>
      </w:r>
      <w:r>
        <w:rPr>
          <w:rFonts w:ascii="仿宋" w:hAnsi="仿宋" w:eastAsia="仿宋" w:cs="仿宋"/>
          <w:spacing w:val="5"/>
          <w:sz w:val="31"/>
          <w:szCs w:val="31"/>
        </w:rPr>
        <w:t>产业。</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100" w:name="bookmark49"/>
      <w:bookmarkEnd w:id="100"/>
      <w:bookmarkStart w:id="101" w:name="_Toc27197"/>
      <w:r>
        <w:rPr>
          <w:rFonts w:ascii="楷体" w:hAnsi="楷体" w:eastAsia="楷体" w:cs="楷体"/>
          <w:spacing w:val="0"/>
          <w:sz w:val="32"/>
          <w:szCs w:val="32"/>
        </w:rPr>
        <w:t>（四）强化人才支撑</w:t>
      </w:r>
      <w:bookmarkEnd w:id="101"/>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56" w:firstLineChars="200"/>
        <w:jc w:val="both"/>
        <w:textAlignment w:val="baseline"/>
        <w:rPr>
          <w:rFonts w:ascii="仿宋" w:hAnsi="仿宋" w:eastAsia="仿宋" w:cs="仿宋"/>
          <w:sz w:val="31"/>
          <w:szCs w:val="31"/>
        </w:rPr>
      </w:pPr>
      <w:r>
        <w:rPr>
          <w:rFonts w:ascii="仿宋" w:hAnsi="仿宋" w:eastAsia="仿宋" w:cs="仿宋"/>
          <w:spacing w:val="9"/>
          <w:sz w:val="31"/>
          <w:szCs w:val="31"/>
        </w:rPr>
        <w:t>选优配强村（社区）带头人，突出“一好双强”标准，多</w:t>
      </w:r>
      <w:r>
        <w:rPr>
          <w:rFonts w:ascii="仿宋" w:hAnsi="仿宋" w:eastAsia="仿宋" w:cs="仿宋"/>
          <w:spacing w:val="13"/>
          <w:sz w:val="31"/>
          <w:szCs w:val="31"/>
        </w:rPr>
        <w:t>渠道选配村（社区）党组织书记，选拔优秀村（社区</w:t>
      </w:r>
      <w:r>
        <w:rPr>
          <w:rFonts w:ascii="仿宋" w:hAnsi="仿宋" w:eastAsia="仿宋" w:cs="仿宋"/>
          <w:spacing w:val="12"/>
          <w:sz w:val="31"/>
          <w:szCs w:val="31"/>
        </w:rPr>
        <w:t>）党组织</w:t>
      </w:r>
      <w:r>
        <w:rPr>
          <w:rFonts w:ascii="仿宋" w:hAnsi="仿宋" w:eastAsia="仿宋" w:cs="仿宋"/>
          <w:spacing w:val="13"/>
          <w:sz w:val="31"/>
          <w:szCs w:val="31"/>
        </w:rPr>
        <w:t>书记进入乡（镇、街）领导班子。多方位多层次推进</w:t>
      </w:r>
      <w:r>
        <w:rPr>
          <w:rFonts w:ascii="仿宋" w:hAnsi="仿宋" w:eastAsia="仿宋" w:cs="仿宋"/>
          <w:spacing w:val="12"/>
          <w:sz w:val="31"/>
          <w:szCs w:val="31"/>
        </w:rPr>
        <w:t>新型职业</w:t>
      </w:r>
      <w:r>
        <w:rPr>
          <w:rFonts w:ascii="仿宋" w:hAnsi="仿宋" w:eastAsia="仿宋" w:cs="仿宋"/>
          <w:spacing w:val="9"/>
          <w:sz w:val="31"/>
          <w:szCs w:val="31"/>
        </w:rPr>
        <w:t>农民、新型农业职业经理人、新乡贤、新村民为重点的</w:t>
      </w:r>
      <w:r>
        <w:rPr>
          <w:rFonts w:ascii="仿宋" w:hAnsi="仿宋" w:eastAsia="仿宋" w:cs="仿宋"/>
          <w:spacing w:val="8"/>
          <w:sz w:val="31"/>
          <w:szCs w:val="31"/>
        </w:rPr>
        <w:t>“四新</w:t>
      </w:r>
      <w:r>
        <w:rPr>
          <w:rFonts w:ascii="仿宋" w:hAnsi="仿宋" w:eastAsia="仿宋" w:cs="仿宋"/>
          <w:spacing w:val="13"/>
          <w:sz w:val="31"/>
          <w:szCs w:val="31"/>
        </w:rPr>
        <w:t>联培”，培养一批有情怀、懂专业、有活力的农村干</w:t>
      </w:r>
      <w:r>
        <w:rPr>
          <w:rFonts w:ascii="仿宋" w:hAnsi="仿宋" w:eastAsia="仿宋" w:cs="仿宋"/>
          <w:spacing w:val="12"/>
          <w:sz w:val="31"/>
          <w:szCs w:val="31"/>
        </w:rPr>
        <w:t>部人才队</w:t>
      </w:r>
      <w:r>
        <w:rPr>
          <w:rFonts w:ascii="仿宋" w:hAnsi="仿宋" w:eastAsia="仿宋" w:cs="仿宋"/>
          <w:spacing w:val="13"/>
          <w:sz w:val="31"/>
          <w:szCs w:val="31"/>
        </w:rPr>
        <w:t>伍。设立农业人才工作站暨专家服务基地，搭建人才</w:t>
      </w:r>
      <w:r>
        <w:rPr>
          <w:rFonts w:ascii="仿宋" w:hAnsi="仿宋" w:eastAsia="仿宋" w:cs="仿宋"/>
          <w:spacing w:val="12"/>
          <w:sz w:val="31"/>
          <w:szCs w:val="31"/>
        </w:rPr>
        <w:t>交流、资</w:t>
      </w:r>
      <w:r>
        <w:rPr>
          <w:rFonts w:ascii="仿宋" w:hAnsi="仿宋" w:eastAsia="仿宋" w:cs="仿宋"/>
          <w:spacing w:val="13"/>
          <w:sz w:val="31"/>
          <w:szCs w:val="31"/>
        </w:rPr>
        <w:t>源整合对接平台，组建专家库、人才库，形成专家信</w:t>
      </w:r>
      <w:r>
        <w:rPr>
          <w:rFonts w:ascii="仿宋" w:hAnsi="仿宋" w:eastAsia="仿宋" w:cs="仿宋"/>
          <w:spacing w:val="12"/>
          <w:sz w:val="31"/>
          <w:szCs w:val="31"/>
        </w:rPr>
        <w:t>息服务网</w:t>
      </w:r>
      <w:r>
        <w:rPr>
          <w:rFonts w:ascii="仿宋" w:hAnsi="仿宋" w:eastAsia="仿宋" w:cs="仿宋"/>
          <w:spacing w:val="5"/>
          <w:sz w:val="31"/>
          <w:szCs w:val="31"/>
        </w:rPr>
        <w:t>络。完善“大学生村官”制度，鼓励“一村一大”扎根农村。</w:t>
      </w:r>
      <w:r>
        <w:rPr>
          <w:rFonts w:ascii="仿宋" w:hAnsi="仿宋" w:eastAsia="仿宋" w:cs="仿宋"/>
          <w:spacing w:val="13"/>
          <w:sz w:val="31"/>
          <w:szCs w:val="31"/>
        </w:rPr>
        <w:t>采取创业培训、创业指导、小额贷款贴息、创业补贴</w:t>
      </w:r>
      <w:r>
        <w:rPr>
          <w:rFonts w:ascii="仿宋" w:hAnsi="仿宋" w:eastAsia="仿宋" w:cs="仿宋"/>
          <w:spacing w:val="12"/>
          <w:sz w:val="31"/>
          <w:szCs w:val="31"/>
        </w:rPr>
        <w:t>等形式，</w:t>
      </w:r>
      <w:r>
        <w:rPr>
          <w:rFonts w:ascii="仿宋" w:hAnsi="仿宋" w:eastAsia="仿宋" w:cs="仿宋"/>
          <w:spacing w:val="13"/>
          <w:sz w:val="31"/>
          <w:szCs w:val="31"/>
        </w:rPr>
        <w:t>支持返乡创业大学生、各行业专业技术人才、科技人</w:t>
      </w:r>
      <w:r>
        <w:rPr>
          <w:rFonts w:ascii="仿宋" w:hAnsi="仿宋" w:eastAsia="仿宋" w:cs="仿宋"/>
          <w:spacing w:val="12"/>
          <w:sz w:val="31"/>
          <w:szCs w:val="31"/>
        </w:rPr>
        <w:t>才、离岸</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right="0"/>
        <w:jc w:val="both"/>
        <w:textAlignment w:val="baseline"/>
        <w:rPr>
          <w:rFonts w:ascii="仿宋" w:hAnsi="仿宋" w:eastAsia="仿宋" w:cs="仿宋"/>
          <w:sz w:val="31"/>
          <w:szCs w:val="31"/>
        </w:rPr>
      </w:pPr>
      <w:r>
        <w:rPr>
          <w:rFonts w:ascii="仿宋" w:hAnsi="仿宋" w:eastAsia="仿宋" w:cs="仿宋"/>
          <w:spacing w:val="13"/>
          <w:sz w:val="31"/>
          <w:szCs w:val="31"/>
        </w:rPr>
        <w:t>创新创业人才以志愿者、创业就业等方式投身农业农村，推动</w:t>
      </w:r>
      <w:r>
        <w:rPr>
          <w:rFonts w:ascii="仿宋" w:hAnsi="仿宋" w:eastAsia="仿宋" w:cs="仿宋"/>
          <w:spacing w:val="10"/>
          <w:sz w:val="31"/>
          <w:szCs w:val="31"/>
        </w:rPr>
        <w:t>新一轮人才下乡进村。营造尊重人才良好氛围。大力弘扬敢为</w:t>
      </w:r>
      <w:r>
        <w:rPr>
          <w:rFonts w:ascii="仿宋" w:hAnsi="仿宋" w:eastAsia="仿宋" w:cs="仿宋"/>
          <w:spacing w:val="4"/>
          <w:sz w:val="31"/>
          <w:szCs w:val="31"/>
        </w:rPr>
        <w:t>人先、宽容失败的创新创业文化，培育创业家精神和创客文化，</w:t>
      </w:r>
      <w:r>
        <w:rPr>
          <w:rFonts w:ascii="仿宋" w:hAnsi="仿宋" w:eastAsia="仿宋" w:cs="仿宋"/>
          <w:spacing w:val="13"/>
          <w:sz w:val="31"/>
          <w:szCs w:val="31"/>
        </w:rPr>
        <w:t>营造人人皆可成才、人人尽展其才的社会环境</w:t>
      </w:r>
      <w:r>
        <w:rPr>
          <w:rFonts w:ascii="仿宋" w:hAnsi="仿宋" w:eastAsia="仿宋" w:cs="仿宋"/>
          <w:spacing w:val="12"/>
          <w:sz w:val="31"/>
          <w:szCs w:val="31"/>
        </w:rPr>
        <w:t>，打造创新创业</w:t>
      </w:r>
      <w:r>
        <w:rPr>
          <w:rFonts w:ascii="仿宋" w:hAnsi="仿宋" w:eastAsia="仿宋" w:cs="仿宋"/>
          <w:spacing w:val="4"/>
          <w:sz w:val="31"/>
          <w:szCs w:val="31"/>
        </w:rPr>
        <w:t>人才高地。</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right="0" w:firstLine="640" w:firstLineChars="200"/>
        <w:jc w:val="both"/>
        <w:textAlignment w:val="baseline"/>
        <w:outlineLvl w:val="1"/>
        <w:rPr>
          <w:rFonts w:ascii="楷体" w:hAnsi="楷体" w:eastAsia="楷体" w:cs="楷体"/>
          <w:spacing w:val="0"/>
          <w:sz w:val="32"/>
          <w:szCs w:val="32"/>
        </w:rPr>
      </w:pPr>
      <w:bookmarkStart w:id="102" w:name="bookmark51"/>
      <w:bookmarkEnd w:id="102"/>
      <w:bookmarkStart w:id="103" w:name="_Toc2947"/>
      <w:r>
        <w:rPr>
          <w:rFonts w:ascii="楷体" w:hAnsi="楷体" w:eastAsia="楷体" w:cs="楷体"/>
          <w:spacing w:val="0"/>
          <w:sz w:val="32"/>
          <w:szCs w:val="32"/>
        </w:rPr>
        <w:t>（五）实施评估考核</w:t>
      </w:r>
      <w:bookmarkEnd w:id="103"/>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656" w:firstLineChars="200"/>
        <w:jc w:val="both"/>
        <w:textAlignment w:val="baseline"/>
        <w:outlineLvl w:val="0"/>
        <w:rPr>
          <w:rFonts w:ascii="仿宋" w:hAnsi="仿宋" w:eastAsia="仿宋" w:cs="仿宋"/>
          <w:sz w:val="31"/>
          <w:szCs w:val="31"/>
        </w:rPr>
      </w:pPr>
      <w:bookmarkStart w:id="104" w:name="_Toc18138"/>
      <w:r>
        <w:rPr>
          <w:rFonts w:ascii="仿宋" w:hAnsi="仿宋" w:eastAsia="仿宋" w:cs="仿宋"/>
          <w:spacing w:val="9"/>
          <w:sz w:val="31"/>
          <w:szCs w:val="31"/>
        </w:rPr>
        <w:t>健全完善目标考核制度、加强规划实施考核监督。把规划</w:t>
      </w:r>
      <w:bookmarkEnd w:id="104"/>
    </w:p>
    <w:p>
      <w:pPr>
        <w:keepNext w:val="0"/>
        <w:keepLines w:val="0"/>
        <w:pageBreakBefore w:val="0"/>
        <w:widowControl w:val="0"/>
        <w:kinsoku/>
        <w:wordWrap/>
        <w:overflowPunct w:val="0"/>
        <w:topLinePunct w:val="0"/>
        <w:autoSpaceDE w:val="0"/>
        <w:autoSpaceDN w:val="0"/>
        <w:bidi w:val="0"/>
        <w:adjustRightInd w:val="0"/>
        <w:snapToGrid w:val="0"/>
        <w:spacing w:line="579" w:lineRule="exact"/>
        <w:ind w:right="0"/>
        <w:jc w:val="both"/>
        <w:textAlignment w:val="baseline"/>
        <w:rPr>
          <w:rFonts w:ascii="仿宋" w:hAnsi="仿宋" w:eastAsia="仿宋" w:cs="仿宋"/>
          <w:sz w:val="31"/>
          <w:szCs w:val="31"/>
        </w:rPr>
      </w:pPr>
      <w:r>
        <w:rPr>
          <w:rFonts w:ascii="仿宋" w:hAnsi="仿宋" w:eastAsia="仿宋" w:cs="仿宋"/>
          <w:spacing w:val="9"/>
          <w:sz w:val="31"/>
          <w:szCs w:val="31"/>
        </w:rPr>
        <w:t>推动工作纳入绩效考核范围，明确规划确定的重要任务和重点项目的责任主体和进度要求，完善考核机制，健全考核评价体系，科学合理设置考核指标，评估规划实施成效，强化正向激励和负向约束，调动责任主体的工作积极性。完善监督机制，改进创新监督检查方式方法，强化督导落实，提升监督检查工作效能。加强现场核查、随机抽查、实地暗访，对监督检查中发现的问题认真纠正、及时整改，提高监督考核质量和效率。</w:t>
      </w:r>
    </w:p>
    <w:sectPr>
      <w:footerReference r:id="rId17" w:type="default"/>
      <w:pgSz w:w="11906" w:h="16839"/>
      <w:pgMar w:top="1417" w:right="1587" w:bottom="1417" w:left="1587" w:header="0" w:footer="109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仿宋" w:hAnsi="仿宋" w:eastAsia="仿宋" w:cs="仿宋"/>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8040"/>
      <w:rPr>
        <w:rFonts w:ascii="仿宋" w:hAnsi="仿宋" w:eastAsia="仿宋" w:cs="仿宋"/>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
      <w:rPr>
        <w:rFonts w:ascii="仿宋" w:hAnsi="仿宋" w:eastAsia="仿宋" w:cs="仿宋"/>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jc w:val="right"/>
      <w:rPr>
        <w:rFonts w:ascii="仿宋" w:hAnsi="仿宋" w:eastAsia="仿宋" w:cs="仿宋"/>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仿宋" w:hAnsi="仿宋" w:eastAsia="仿宋" w:cs="仿宋"/>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jc w:val="right"/>
      <w:rPr>
        <w:rFonts w:ascii="仿宋" w:hAnsi="仿宋" w:eastAsia="仿宋" w:cs="仿宋"/>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771"/>
      <w:rPr>
        <w:rFonts w:ascii="仿宋" w:hAnsi="仿宋" w:eastAsia="仿宋" w:cs="仿宋"/>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仿宋" w:hAnsi="仿宋" w:eastAsia="仿宋" w:cs="仿宋"/>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683C6"/>
    <w:multiLevelType w:val="singleLevel"/>
    <w:tmpl w:val="A90683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Y5ZTUxZjc0MzFkOTU1MTIwNDNmYWY4MThmNmQwYmIifQ=="/>
  </w:docVars>
  <w:rsids>
    <w:rsidRoot w:val="00000000"/>
    <w:rsid w:val="01B6221C"/>
    <w:rsid w:val="02D432A2"/>
    <w:rsid w:val="03280EF8"/>
    <w:rsid w:val="032F2286"/>
    <w:rsid w:val="03C54999"/>
    <w:rsid w:val="03F139E0"/>
    <w:rsid w:val="05C649F8"/>
    <w:rsid w:val="06F84D7D"/>
    <w:rsid w:val="0C6A432F"/>
    <w:rsid w:val="0DBC0116"/>
    <w:rsid w:val="0E80608C"/>
    <w:rsid w:val="0E927B6D"/>
    <w:rsid w:val="0E9C09EC"/>
    <w:rsid w:val="0EC75A69"/>
    <w:rsid w:val="0EFA18AA"/>
    <w:rsid w:val="0F470958"/>
    <w:rsid w:val="103C55D9"/>
    <w:rsid w:val="114E06C3"/>
    <w:rsid w:val="11AE1162"/>
    <w:rsid w:val="11DA5AB3"/>
    <w:rsid w:val="122A4C8C"/>
    <w:rsid w:val="17A76437"/>
    <w:rsid w:val="17AD5A18"/>
    <w:rsid w:val="17BB1EE3"/>
    <w:rsid w:val="18421DA8"/>
    <w:rsid w:val="196B16E7"/>
    <w:rsid w:val="1B957194"/>
    <w:rsid w:val="1F7F7C9A"/>
    <w:rsid w:val="1FAC4DD5"/>
    <w:rsid w:val="1FF57F5C"/>
    <w:rsid w:val="22D402FC"/>
    <w:rsid w:val="22F015DA"/>
    <w:rsid w:val="23393759"/>
    <w:rsid w:val="235651B5"/>
    <w:rsid w:val="258B55EA"/>
    <w:rsid w:val="260E3B25"/>
    <w:rsid w:val="29003BF9"/>
    <w:rsid w:val="29910CF5"/>
    <w:rsid w:val="2A2E4796"/>
    <w:rsid w:val="2B8E1990"/>
    <w:rsid w:val="2FA572A9"/>
    <w:rsid w:val="2FBC45F2"/>
    <w:rsid w:val="30536D05"/>
    <w:rsid w:val="30C419B0"/>
    <w:rsid w:val="31E16592"/>
    <w:rsid w:val="37421881"/>
    <w:rsid w:val="38305B7D"/>
    <w:rsid w:val="396401D4"/>
    <w:rsid w:val="3A052F6F"/>
    <w:rsid w:val="3C797AF3"/>
    <w:rsid w:val="3E114475"/>
    <w:rsid w:val="3F067638"/>
    <w:rsid w:val="3F125FDD"/>
    <w:rsid w:val="3F6525B0"/>
    <w:rsid w:val="400022D9"/>
    <w:rsid w:val="403B76C0"/>
    <w:rsid w:val="40464190"/>
    <w:rsid w:val="405D3F7A"/>
    <w:rsid w:val="41354204"/>
    <w:rsid w:val="41D67795"/>
    <w:rsid w:val="42135C67"/>
    <w:rsid w:val="42DE4B54"/>
    <w:rsid w:val="446948F1"/>
    <w:rsid w:val="454669E0"/>
    <w:rsid w:val="462D194E"/>
    <w:rsid w:val="47024B89"/>
    <w:rsid w:val="48A04659"/>
    <w:rsid w:val="4AE20F59"/>
    <w:rsid w:val="4C87000A"/>
    <w:rsid w:val="4CCA7EF7"/>
    <w:rsid w:val="4D4001B9"/>
    <w:rsid w:val="4D5B4FF3"/>
    <w:rsid w:val="4E17716C"/>
    <w:rsid w:val="4F367AC5"/>
    <w:rsid w:val="50081462"/>
    <w:rsid w:val="50903205"/>
    <w:rsid w:val="50B769E4"/>
    <w:rsid w:val="50BC705E"/>
    <w:rsid w:val="5167040A"/>
    <w:rsid w:val="51A60C2A"/>
    <w:rsid w:val="51DB6702"/>
    <w:rsid w:val="526E7576"/>
    <w:rsid w:val="53476745"/>
    <w:rsid w:val="53CC27A6"/>
    <w:rsid w:val="547C241E"/>
    <w:rsid w:val="58DF0893"/>
    <w:rsid w:val="5A0A5DD6"/>
    <w:rsid w:val="5ED15115"/>
    <w:rsid w:val="5F8959EF"/>
    <w:rsid w:val="601E25DC"/>
    <w:rsid w:val="616E30EF"/>
    <w:rsid w:val="63B3128D"/>
    <w:rsid w:val="63BA086D"/>
    <w:rsid w:val="64CD637E"/>
    <w:rsid w:val="663F505A"/>
    <w:rsid w:val="68F14D31"/>
    <w:rsid w:val="698663AF"/>
    <w:rsid w:val="6C7C7008"/>
    <w:rsid w:val="6D154D66"/>
    <w:rsid w:val="6E7F06E9"/>
    <w:rsid w:val="6FC00FB9"/>
    <w:rsid w:val="701E3F32"/>
    <w:rsid w:val="70D0347E"/>
    <w:rsid w:val="70EE7DA8"/>
    <w:rsid w:val="724F4877"/>
    <w:rsid w:val="72D54D7C"/>
    <w:rsid w:val="73335F46"/>
    <w:rsid w:val="735A34D3"/>
    <w:rsid w:val="73BC23E0"/>
    <w:rsid w:val="74934EEE"/>
    <w:rsid w:val="76791D0B"/>
    <w:rsid w:val="7AE446F6"/>
    <w:rsid w:val="7BE14791"/>
    <w:rsid w:val="7C372603"/>
    <w:rsid w:val="7C5C02BC"/>
    <w:rsid w:val="7C776EA4"/>
    <w:rsid w:val="7D0C3A90"/>
    <w:rsid w:val="7E096221"/>
    <w:rsid w:val="7F9E2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annotation text"/>
    <w:basedOn w:val="1"/>
    <w:qFormat/>
    <w:uiPriority w:val="0"/>
    <w:pPr>
      <w:jc w:val="left"/>
    </w:pPr>
  </w:style>
  <w:style w:type="paragraph" w:styleId="4">
    <w:name w:val="Body Text"/>
    <w:basedOn w:val="1"/>
    <w:qFormat/>
    <w:uiPriority w:val="0"/>
    <w:rPr>
      <w:rFonts w:ascii="Arial" w:hAnsi="Arial" w:eastAsia="Arial" w:cs="Arial"/>
      <w:sz w:val="21"/>
      <w:szCs w:val="2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lang w:val="en-US" w:eastAsia="en-US" w:bidi="ar-SA"/>
    </w:rPr>
  </w:style>
  <w:style w:type="paragraph" w:customStyle="1" w:styleId="11">
    <w:name w:val="无间隔1"/>
    <w:autoRedefine/>
    <w:qFormat/>
    <w:uiPriority w:val="0"/>
    <w:pPr>
      <w:widowControl w:val="0"/>
      <w:jc w:val="both"/>
    </w:pPr>
    <w:rPr>
      <w:rFonts w:ascii="Calibri" w:hAnsi="Calibri" w:eastAsia="仿宋_GB2312" w:cs="Times New Roman"/>
      <w:kern w:val="2"/>
      <w:sz w:val="28"/>
      <w:szCs w:val="22"/>
      <w:lang w:val="en-US" w:eastAsia="zh-CN" w:bidi="ar-SA"/>
    </w:rPr>
  </w:style>
  <w:style w:type="paragraph" w:customStyle="1" w:styleId="12">
    <w:name w:val="WPSOffice手动目录 1"/>
    <w:autoRedefine/>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Chars="200"/>
    </w:pPr>
    <w:rPr>
      <w:rFonts w:ascii="Arial" w:hAnsi="Arial" w:eastAsia="Arial" w:cs="Arial"/>
      <w:sz w:val="20"/>
      <w:szCs w:val="20"/>
    </w:rPr>
  </w:style>
  <w:style w:type="paragraph" w:customStyle="1" w:styleId="14">
    <w:name w:val="WPSOffice手动目录 3"/>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28647</Words>
  <Characters>29679</Characters>
  <TotalTime>5</TotalTime>
  <ScaleCrop>false</ScaleCrop>
  <LinksUpToDate>false</LinksUpToDate>
  <CharactersWithSpaces>29777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2023-05-28T07:48:00Z</dcterms:created>
  <dc:creator>ggy</dc:creator>
  <cp:lastModifiedBy>张先森</cp:lastModifiedBy>
  <dcterms:modified xsi:type="dcterms:W3CDTF">2024-06-07T07:21:40Z</dcterms:modified>
  <dc:title>四平市农业农村现代化“十四五”规划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2024-06-03T14:00:53Z</vt:filetime>
  </property>
  <property fmtid="{D5CDD505-2E9C-101B-9397-08002B2CF9AE}" pid="4" name="KSOProductBuildVer">
    <vt:lpwstr>2052-12.1.0.16929</vt:lpwstr>
  </property>
  <property fmtid="{D5CDD505-2E9C-101B-9397-08002B2CF9AE}" pid="5" name="ICV">
    <vt:lpwstr>D18E3F6408954D9D95B439F3A6FE5548_13</vt:lpwstr>
  </property>
</Properties>
</file>