
<file path=[Content_Types].xml><?xml version="1.0" encoding="utf-8"?>
<Types xmlns="http://schemas.openxmlformats.org/package/2006/content-types">
  <Default Extension="xlsx" ContentType="application/vnd.openxmlformats-officedocument.spreadsheetml.sheet"/>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color w:val="auto"/>
          <w:sz w:val="72"/>
          <w:szCs w:val="72"/>
        </w:rPr>
      </w:pPr>
    </w:p>
    <w:p>
      <w:pPr>
        <w:jc w:val="center"/>
        <w:rPr>
          <w:rFonts w:asciiTheme="minorEastAsia" w:hAnsiTheme="minorEastAsia"/>
          <w:b/>
          <w:color w:val="auto"/>
          <w:sz w:val="72"/>
          <w:szCs w:val="72"/>
        </w:rPr>
      </w:pPr>
    </w:p>
    <w:p>
      <w:pPr>
        <w:jc w:val="center"/>
        <w:rPr>
          <w:rFonts w:asciiTheme="minorEastAsia" w:hAnsiTheme="minorEastAsia"/>
          <w:b/>
          <w:color w:val="auto"/>
          <w:sz w:val="72"/>
          <w:szCs w:val="72"/>
        </w:rPr>
      </w:pPr>
    </w:p>
    <w:p>
      <w:pPr>
        <w:jc w:val="center"/>
        <w:rPr>
          <w:rFonts w:asciiTheme="minorEastAsia" w:hAnsiTheme="minorEastAsia"/>
          <w:b/>
          <w:color w:val="auto"/>
          <w:sz w:val="72"/>
          <w:szCs w:val="72"/>
        </w:rPr>
      </w:pPr>
    </w:p>
    <w:p>
      <w:pPr>
        <w:jc w:val="center"/>
        <w:rPr>
          <w:rFonts w:asciiTheme="minorEastAsia" w:hAnsiTheme="minorEastAsia"/>
          <w:b/>
          <w:color w:val="auto"/>
          <w:sz w:val="72"/>
          <w:szCs w:val="72"/>
        </w:rPr>
      </w:pPr>
      <w:r>
        <w:rPr>
          <w:rFonts w:hint="eastAsia" w:asciiTheme="minorEastAsia" w:hAnsiTheme="minorEastAsia"/>
          <w:b/>
          <w:color w:val="auto"/>
          <w:sz w:val="72"/>
          <w:szCs w:val="72"/>
        </w:rPr>
        <w:t>双辽市妇女联合会2024年部门预算</w:t>
      </w:r>
    </w:p>
    <w:p>
      <w:pPr>
        <w:jc w:val="center"/>
        <w:rPr>
          <w:rFonts w:asciiTheme="minorEastAsia" w:hAnsiTheme="minorEastAsia"/>
          <w:b/>
          <w:color w:val="auto"/>
          <w:sz w:val="72"/>
          <w:szCs w:val="72"/>
        </w:rPr>
      </w:pPr>
    </w:p>
    <w:p>
      <w:pPr>
        <w:jc w:val="center"/>
        <w:rPr>
          <w:rFonts w:asciiTheme="minorEastAsia" w:hAnsiTheme="minorEastAsia"/>
          <w:b/>
          <w:color w:val="auto"/>
          <w:sz w:val="72"/>
          <w:szCs w:val="72"/>
        </w:rPr>
      </w:pPr>
    </w:p>
    <w:p>
      <w:pPr>
        <w:jc w:val="center"/>
        <w:rPr>
          <w:rFonts w:asciiTheme="minorEastAsia" w:hAnsiTheme="minorEastAsia"/>
          <w:b/>
          <w:color w:val="auto"/>
          <w:sz w:val="72"/>
          <w:szCs w:val="72"/>
        </w:rPr>
      </w:pPr>
    </w:p>
    <w:p>
      <w:pPr>
        <w:jc w:val="center"/>
        <w:rPr>
          <w:rFonts w:asciiTheme="minorEastAsia" w:hAnsiTheme="minorEastAsia"/>
          <w:b/>
          <w:color w:val="auto"/>
          <w:sz w:val="72"/>
          <w:szCs w:val="72"/>
        </w:rPr>
      </w:pPr>
    </w:p>
    <w:p>
      <w:pPr>
        <w:jc w:val="center"/>
        <w:rPr>
          <w:rFonts w:asciiTheme="minorEastAsia" w:hAnsiTheme="minorEastAsia"/>
          <w:b/>
          <w:color w:val="auto"/>
          <w:sz w:val="72"/>
          <w:szCs w:val="72"/>
        </w:rPr>
      </w:pPr>
    </w:p>
    <w:p>
      <w:pPr>
        <w:jc w:val="center"/>
        <w:rPr>
          <w:rFonts w:asciiTheme="minorEastAsia" w:hAnsiTheme="minorEastAsia"/>
          <w:b/>
          <w:color w:val="auto"/>
          <w:sz w:val="72"/>
          <w:szCs w:val="72"/>
        </w:rPr>
      </w:pPr>
    </w:p>
    <w:p>
      <w:pPr>
        <w:jc w:val="center"/>
        <w:rPr>
          <w:rFonts w:asciiTheme="minorEastAsia" w:hAnsiTheme="minorEastAsia"/>
          <w:b/>
          <w:color w:val="auto"/>
          <w:sz w:val="48"/>
          <w:szCs w:val="48"/>
        </w:rPr>
      </w:pPr>
    </w:p>
    <w:p>
      <w:pPr>
        <w:jc w:val="center"/>
        <w:rPr>
          <w:rFonts w:asciiTheme="minorEastAsia" w:hAnsiTheme="minorEastAsia"/>
          <w:b/>
          <w:color w:val="auto"/>
          <w:sz w:val="48"/>
          <w:szCs w:val="48"/>
        </w:rPr>
      </w:pPr>
    </w:p>
    <w:p>
      <w:pPr>
        <w:jc w:val="center"/>
        <w:rPr>
          <w:rFonts w:asciiTheme="minorEastAsia" w:hAnsiTheme="minorEastAsia"/>
          <w:b/>
          <w:color w:val="auto"/>
          <w:sz w:val="48"/>
          <w:szCs w:val="48"/>
        </w:rPr>
      </w:pPr>
      <w:r>
        <w:rPr>
          <w:rFonts w:hint="eastAsia" w:asciiTheme="minorEastAsia" w:hAnsiTheme="minorEastAsia"/>
          <w:b/>
          <w:color w:val="auto"/>
          <w:sz w:val="48"/>
          <w:szCs w:val="48"/>
        </w:rPr>
        <w:t>二0二四年一月</w:t>
      </w:r>
    </w:p>
    <w:p>
      <w:pPr>
        <w:rPr>
          <w:rFonts w:asciiTheme="minorEastAsia" w:hAnsiTheme="minorEastAsia"/>
          <w:b/>
          <w:color w:val="auto"/>
          <w:sz w:val="36"/>
          <w:szCs w:val="36"/>
        </w:rPr>
      </w:pPr>
      <w:r>
        <w:rPr>
          <w:rFonts w:hint="eastAsia" w:asciiTheme="minorEastAsia" w:hAnsiTheme="minorEastAsia"/>
          <w:b/>
          <w:color w:val="auto"/>
          <w:sz w:val="36"/>
          <w:szCs w:val="36"/>
        </w:rPr>
        <w:t>双辽市妇女联合会2024年部门预算</w:t>
      </w:r>
    </w:p>
    <w:p>
      <w:pPr>
        <w:rPr>
          <w:rFonts w:asciiTheme="minorEastAsia" w:hAnsiTheme="minorEastAsia"/>
          <w:b/>
          <w:color w:val="auto"/>
          <w:sz w:val="30"/>
          <w:szCs w:val="30"/>
        </w:rPr>
      </w:pPr>
    </w:p>
    <w:p>
      <w:pPr>
        <w:jc w:val="center"/>
        <w:rPr>
          <w:rFonts w:asciiTheme="minorEastAsia" w:hAnsiTheme="minorEastAsia"/>
          <w:b/>
          <w:color w:val="auto"/>
          <w:sz w:val="30"/>
          <w:szCs w:val="30"/>
        </w:rPr>
      </w:pPr>
      <w:r>
        <w:rPr>
          <w:rFonts w:hint="eastAsia" w:asciiTheme="minorEastAsia" w:hAnsiTheme="minorEastAsia"/>
          <w:b/>
          <w:color w:val="auto"/>
          <w:sz w:val="30"/>
          <w:szCs w:val="30"/>
        </w:rPr>
        <w:t>目    录</w:t>
      </w:r>
    </w:p>
    <w:p>
      <w:pPr>
        <w:jc w:val="center"/>
        <w:rPr>
          <w:rFonts w:asciiTheme="minorEastAsia" w:hAnsiTheme="minorEastAsia"/>
          <w:b/>
          <w:color w:val="auto"/>
          <w:sz w:val="30"/>
          <w:szCs w:val="30"/>
        </w:rPr>
      </w:pPr>
    </w:p>
    <w:p>
      <w:pPr>
        <w:jc w:val="left"/>
        <w:rPr>
          <w:rFonts w:asciiTheme="minorEastAsia" w:hAnsiTheme="minorEastAsia"/>
          <w:b/>
          <w:color w:val="auto"/>
          <w:sz w:val="30"/>
          <w:szCs w:val="30"/>
        </w:rPr>
      </w:pPr>
      <w:r>
        <w:rPr>
          <w:rFonts w:hint="eastAsia" w:asciiTheme="minorEastAsia" w:hAnsiTheme="minorEastAsia"/>
          <w:b/>
          <w:color w:val="auto"/>
          <w:sz w:val="30"/>
          <w:szCs w:val="30"/>
        </w:rPr>
        <w:t>第一部分  部门概况</w:t>
      </w:r>
    </w:p>
    <w:p>
      <w:pPr>
        <w:ind w:firstLine="600" w:firstLineChars="200"/>
        <w:jc w:val="left"/>
        <w:rPr>
          <w:rFonts w:asciiTheme="minorEastAsia" w:hAnsiTheme="minorEastAsia"/>
          <w:color w:val="auto"/>
          <w:sz w:val="30"/>
          <w:szCs w:val="30"/>
        </w:rPr>
      </w:pPr>
      <w:r>
        <w:rPr>
          <w:rFonts w:hint="eastAsia" w:asciiTheme="minorEastAsia" w:hAnsiTheme="minorEastAsia"/>
          <w:color w:val="auto"/>
          <w:sz w:val="30"/>
          <w:szCs w:val="30"/>
        </w:rPr>
        <w:t>一、2024年</w:t>
      </w:r>
      <w:r>
        <w:rPr>
          <w:rFonts w:hint="eastAsia" w:asciiTheme="minorEastAsia" w:hAnsiTheme="minorEastAsia"/>
          <w:b/>
          <w:color w:val="auto"/>
          <w:sz w:val="30"/>
          <w:szCs w:val="30"/>
        </w:rPr>
        <w:t>部门</w:t>
      </w:r>
      <w:r>
        <w:rPr>
          <w:rFonts w:hint="eastAsia" w:asciiTheme="minorEastAsia" w:hAnsiTheme="minorEastAsia"/>
          <w:color w:val="auto"/>
          <w:sz w:val="30"/>
          <w:szCs w:val="30"/>
        </w:rPr>
        <w:t>预算编制说明</w:t>
      </w:r>
    </w:p>
    <w:p>
      <w:pPr>
        <w:jc w:val="left"/>
        <w:rPr>
          <w:rFonts w:asciiTheme="minorEastAsia" w:hAnsiTheme="minorEastAsia"/>
          <w:b/>
          <w:color w:val="auto"/>
          <w:sz w:val="30"/>
          <w:szCs w:val="30"/>
        </w:rPr>
      </w:pPr>
      <w:r>
        <w:rPr>
          <w:rFonts w:hint="eastAsia" w:asciiTheme="minorEastAsia" w:hAnsiTheme="minorEastAsia"/>
          <w:b/>
          <w:color w:val="auto"/>
          <w:sz w:val="30"/>
          <w:szCs w:val="30"/>
        </w:rPr>
        <w:t>第二部分  2024年部门预算表</w:t>
      </w:r>
    </w:p>
    <w:p>
      <w:pPr>
        <w:ind w:firstLine="600" w:firstLineChars="200"/>
        <w:jc w:val="left"/>
        <w:rPr>
          <w:rFonts w:asciiTheme="minorEastAsia" w:hAnsiTheme="minorEastAsia"/>
          <w:color w:val="auto"/>
          <w:sz w:val="30"/>
          <w:szCs w:val="30"/>
        </w:rPr>
      </w:pPr>
      <w:r>
        <w:rPr>
          <w:rFonts w:hint="eastAsia" w:asciiTheme="minorEastAsia" w:hAnsiTheme="minorEastAsia"/>
          <w:color w:val="auto"/>
          <w:sz w:val="30"/>
          <w:szCs w:val="30"/>
        </w:rPr>
        <w:t>一、收支预算总表</w:t>
      </w:r>
    </w:p>
    <w:p>
      <w:pPr>
        <w:ind w:firstLine="600" w:firstLineChars="200"/>
        <w:jc w:val="left"/>
        <w:rPr>
          <w:rFonts w:asciiTheme="minorEastAsia" w:hAnsiTheme="minorEastAsia"/>
          <w:color w:val="auto"/>
          <w:sz w:val="30"/>
          <w:szCs w:val="30"/>
        </w:rPr>
      </w:pPr>
      <w:r>
        <w:rPr>
          <w:rFonts w:hint="eastAsia" w:asciiTheme="minorEastAsia" w:hAnsiTheme="minorEastAsia"/>
          <w:color w:val="auto"/>
          <w:sz w:val="30"/>
          <w:szCs w:val="30"/>
        </w:rPr>
        <w:t>二、收入预算总表</w:t>
      </w:r>
    </w:p>
    <w:p>
      <w:pPr>
        <w:ind w:firstLine="600" w:firstLineChars="200"/>
        <w:jc w:val="left"/>
        <w:rPr>
          <w:rFonts w:asciiTheme="minorEastAsia" w:hAnsiTheme="minorEastAsia"/>
          <w:color w:val="auto"/>
          <w:sz w:val="30"/>
          <w:szCs w:val="30"/>
        </w:rPr>
      </w:pPr>
      <w:r>
        <w:rPr>
          <w:rFonts w:hint="eastAsia" w:asciiTheme="minorEastAsia" w:hAnsiTheme="minorEastAsia"/>
          <w:color w:val="auto"/>
          <w:sz w:val="30"/>
          <w:szCs w:val="30"/>
        </w:rPr>
        <w:t>三、支出预算总表</w:t>
      </w:r>
    </w:p>
    <w:p>
      <w:pPr>
        <w:ind w:firstLine="600" w:firstLineChars="200"/>
        <w:jc w:val="left"/>
        <w:rPr>
          <w:rFonts w:asciiTheme="minorEastAsia" w:hAnsiTheme="minorEastAsia"/>
          <w:color w:val="auto"/>
          <w:sz w:val="30"/>
          <w:szCs w:val="30"/>
        </w:rPr>
      </w:pPr>
      <w:r>
        <w:rPr>
          <w:rFonts w:hint="eastAsia" w:asciiTheme="minorEastAsia" w:hAnsiTheme="minorEastAsia"/>
          <w:color w:val="auto"/>
          <w:sz w:val="30"/>
          <w:szCs w:val="30"/>
        </w:rPr>
        <w:t>四、财政拨款收支预算总表</w:t>
      </w:r>
    </w:p>
    <w:p>
      <w:pPr>
        <w:ind w:firstLine="600" w:firstLineChars="200"/>
        <w:jc w:val="left"/>
        <w:rPr>
          <w:rFonts w:asciiTheme="minorEastAsia" w:hAnsiTheme="minorEastAsia"/>
          <w:color w:val="auto"/>
          <w:sz w:val="30"/>
          <w:szCs w:val="30"/>
        </w:rPr>
      </w:pPr>
      <w:r>
        <w:rPr>
          <w:rFonts w:hint="eastAsia" w:asciiTheme="minorEastAsia" w:hAnsiTheme="minorEastAsia"/>
          <w:color w:val="auto"/>
          <w:sz w:val="30"/>
          <w:szCs w:val="30"/>
        </w:rPr>
        <w:t>五、一般公共预算支出预算表</w:t>
      </w:r>
    </w:p>
    <w:p>
      <w:pPr>
        <w:ind w:firstLine="600" w:firstLineChars="200"/>
        <w:jc w:val="left"/>
        <w:rPr>
          <w:rFonts w:asciiTheme="minorEastAsia" w:hAnsiTheme="minorEastAsia"/>
          <w:color w:val="auto"/>
          <w:sz w:val="30"/>
          <w:szCs w:val="30"/>
        </w:rPr>
      </w:pPr>
      <w:r>
        <w:rPr>
          <w:rFonts w:hint="eastAsia" w:asciiTheme="minorEastAsia" w:hAnsiTheme="minorEastAsia"/>
          <w:color w:val="auto"/>
          <w:sz w:val="30"/>
          <w:szCs w:val="30"/>
        </w:rPr>
        <w:t>六、一般公共预算基本支出预算表</w:t>
      </w:r>
    </w:p>
    <w:p>
      <w:pPr>
        <w:ind w:firstLine="600" w:firstLineChars="200"/>
        <w:jc w:val="left"/>
        <w:rPr>
          <w:rFonts w:asciiTheme="minorEastAsia" w:hAnsiTheme="minorEastAsia"/>
          <w:color w:val="auto"/>
          <w:sz w:val="30"/>
          <w:szCs w:val="30"/>
        </w:rPr>
      </w:pPr>
      <w:r>
        <w:rPr>
          <w:rFonts w:hint="eastAsia" w:asciiTheme="minorEastAsia" w:hAnsiTheme="minorEastAsia"/>
          <w:color w:val="auto"/>
          <w:sz w:val="30"/>
          <w:szCs w:val="30"/>
        </w:rPr>
        <w:t>七、一般公共预算“三公”经费支出预算表</w:t>
      </w:r>
    </w:p>
    <w:p>
      <w:pPr>
        <w:ind w:firstLine="600" w:firstLineChars="200"/>
        <w:jc w:val="left"/>
        <w:rPr>
          <w:rFonts w:asciiTheme="minorEastAsia" w:hAnsiTheme="minorEastAsia"/>
          <w:color w:val="auto"/>
          <w:sz w:val="30"/>
          <w:szCs w:val="30"/>
        </w:rPr>
      </w:pPr>
      <w:r>
        <w:rPr>
          <w:rFonts w:hint="eastAsia" w:asciiTheme="minorEastAsia" w:hAnsiTheme="minorEastAsia"/>
          <w:color w:val="auto"/>
          <w:sz w:val="30"/>
          <w:szCs w:val="30"/>
        </w:rPr>
        <w:t>八、政府性基金预算财政拨款支出预算表</w:t>
      </w:r>
    </w:p>
    <w:p>
      <w:pPr>
        <w:ind w:firstLine="600" w:firstLineChars="200"/>
        <w:jc w:val="left"/>
        <w:rPr>
          <w:rFonts w:asciiTheme="minorEastAsia" w:hAnsiTheme="minorEastAsia"/>
          <w:color w:val="auto"/>
          <w:sz w:val="30"/>
          <w:szCs w:val="30"/>
        </w:rPr>
      </w:pPr>
      <w:r>
        <w:rPr>
          <w:rFonts w:hint="eastAsia" w:asciiTheme="minorEastAsia" w:hAnsiTheme="minorEastAsia"/>
          <w:color w:val="auto"/>
          <w:sz w:val="30"/>
          <w:szCs w:val="30"/>
        </w:rPr>
        <w:t>九、国有资产经营预算支出预算表</w:t>
      </w:r>
    </w:p>
    <w:p>
      <w:pPr>
        <w:ind w:firstLine="600" w:firstLineChars="200"/>
        <w:jc w:val="left"/>
        <w:rPr>
          <w:rFonts w:asciiTheme="minorEastAsia" w:hAnsiTheme="minorEastAsia"/>
          <w:color w:val="auto"/>
          <w:sz w:val="30"/>
          <w:szCs w:val="30"/>
        </w:rPr>
      </w:pPr>
      <w:r>
        <w:rPr>
          <w:rFonts w:hint="eastAsia" w:asciiTheme="minorEastAsia" w:hAnsiTheme="minorEastAsia"/>
          <w:color w:val="auto"/>
          <w:sz w:val="30"/>
          <w:szCs w:val="30"/>
        </w:rPr>
        <w:t>十、项目支出绩效目标申报表</w:t>
      </w:r>
    </w:p>
    <w:p>
      <w:pPr>
        <w:ind w:firstLine="600" w:firstLineChars="200"/>
        <w:jc w:val="left"/>
        <w:rPr>
          <w:rFonts w:asciiTheme="minorEastAsia" w:hAnsiTheme="minorEastAsia"/>
          <w:color w:val="auto"/>
          <w:sz w:val="30"/>
          <w:szCs w:val="30"/>
        </w:rPr>
      </w:pPr>
      <w:r>
        <w:rPr>
          <w:rFonts w:hint="eastAsia" w:asciiTheme="minorEastAsia" w:hAnsiTheme="minorEastAsia"/>
          <w:color w:val="auto"/>
          <w:sz w:val="30"/>
          <w:szCs w:val="30"/>
        </w:rPr>
        <w:t>十一、</w:t>
      </w:r>
      <w:r>
        <w:rPr>
          <w:rFonts w:hint="eastAsia" w:asciiTheme="minorEastAsia" w:hAnsiTheme="minorEastAsia"/>
          <w:b w:val="0"/>
          <w:bCs/>
          <w:color w:val="auto"/>
          <w:sz w:val="30"/>
          <w:szCs w:val="30"/>
        </w:rPr>
        <w:t>部门</w:t>
      </w:r>
      <w:r>
        <w:rPr>
          <w:rFonts w:hint="eastAsia" w:asciiTheme="minorEastAsia" w:hAnsiTheme="minorEastAsia"/>
          <w:color w:val="auto"/>
          <w:sz w:val="30"/>
          <w:szCs w:val="30"/>
        </w:rPr>
        <w:t>整体支出绩效目标申报表</w:t>
      </w:r>
    </w:p>
    <w:p>
      <w:pPr>
        <w:jc w:val="left"/>
        <w:rPr>
          <w:rFonts w:asciiTheme="minorEastAsia" w:hAnsiTheme="minorEastAsia"/>
          <w:color w:val="auto"/>
          <w:sz w:val="30"/>
          <w:szCs w:val="30"/>
        </w:rPr>
      </w:pPr>
    </w:p>
    <w:p>
      <w:pPr>
        <w:rPr>
          <w:rFonts w:asciiTheme="minorEastAsia" w:hAnsiTheme="minorEastAsia"/>
          <w:b/>
          <w:color w:val="auto"/>
          <w:sz w:val="30"/>
          <w:szCs w:val="30"/>
        </w:rPr>
      </w:pPr>
      <w:r>
        <w:rPr>
          <w:rFonts w:asciiTheme="minorEastAsia" w:hAnsiTheme="minorEastAsia"/>
          <w:b/>
          <w:color w:val="auto"/>
          <w:sz w:val="30"/>
          <w:szCs w:val="30"/>
        </w:rPr>
        <w:br w:type="page"/>
      </w:r>
    </w:p>
    <w:p>
      <w:pPr>
        <w:jc w:val="left"/>
        <w:rPr>
          <w:rFonts w:ascii="黑体" w:hAnsi="黑体" w:eastAsia="黑体"/>
          <w:color w:val="auto"/>
          <w:sz w:val="30"/>
          <w:szCs w:val="30"/>
        </w:rPr>
      </w:pPr>
      <w:r>
        <w:rPr>
          <w:rFonts w:hint="eastAsia" w:ascii="黑体" w:hAnsi="黑体" w:eastAsia="黑体"/>
          <w:color w:val="auto"/>
          <w:sz w:val="30"/>
          <w:szCs w:val="30"/>
        </w:rPr>
        <w:t xml:space="preserve">第一部分  </w:t>
      </w:r>
      <w:r>
        <w:rPr>
          <w:rFonts w:hint="eastAsia" w:asciiTheme="minorEastAsia" w:hAnsiTheme="minorEastAsia"/>
          <w:b/>
          <w:color w:val="auto"/>
          <w:sz w:val="30"/>
          <w:szCs w:val="30"/>
        </w:rPr>
        <w:t>部门</w:t>
      </w:r>
      <w:r>
        <w:rPr>
          <w:rFonts w:hint="eastAsia" w:ascii="黑体" w:hAnsi="黑体" w:eastAsia="黑体"/>
          <w:color w:val="auto"/>
          <w:sz w:val="30"/>
          <w:szCs w:val="30"/>
        </w:rPr>
        <w:t>概况</w:t>
      </w:r>
    </w:p>
    <w:p>
      <w:pPr>
        <w:rPr>
          <w:color w:val="auto"/>
          <w:sz w:val="28"/>
          <w:szCs w:val="28"/>
        </w:rPr>
      </w:pPr>
    </w:p>
    <w:p>
      <w:pPr>
        <w:jc w:val="center"/>
        <w:rPr>
          <w:rFonts w:ascii="黑体" w:eastAsia="黑体"/>
          <w:color w:val="auto"/>
          <w:sz w:val="44"/>
          <w:szCs w:val="44"/>
        </w:rPr>
      </w:pPr>
      <w:r>
        <w:rPr>
          <w:rFonts w:hint="eastAsia" w:ascii="黑体" w:eastAsia="黑体"/>
          <w:color w:val="auto"/>
          <w:sz w:val="44"/>
          <w:szCs w:val="44"/>
        </w:rPr>
        <w:t>双辽市妇女联合会2024年</w:t>
      </w:r>
    </w:p>
    <w:p>
      <w:pPr>
        <w:jc w:val="center"/>
        <w:rPr>
          <w:rFonts w:ascii="黑体" w:eastAsia="黑体"/>
          <w:color w:val="auto"/>
          <w:sz w:val="44"/>
          <w:szCs w:val="44"/>
        </w:rPr>
      </w:pPr>
      <w:r>
        <w:rPr>
          <w:rFonts w:hint="eastAsia" w:ascii="黑体" w:eastAsia="黑体"/>
          <w:color w:val="auto"/>
          <w:sz w:val="44"/>
          <w:szCs w:val="44"/>
        </w:rPr>
        <w:t>部门预算编制说明</w:t>
      </w:r>
    </w:p>
    <w:p>
      <w:pPr>
        <w:ind w:firstLine="640" w:firstLineChars="200"/>
        <w:rPr>
          <w:rFonts w:ascii="仿宋_GB2312" w:eastAsia="仿宋_GB2312"/>
          <w:color w:val="auto"/>
          <w:sz w:val="32"/>
          <w:szCs w:val="32"/>
        </w:rPr>
      </w:pPr>
    </w:p>
    <w:p>
      <w:pPr>
        <w:ind w:firstLine="640" w:firstLineChars="200"/>
        <w:rPr>
          <w:rFonts w:ascii="仿宋" w:hAnsi="仿宋" w:eastAsia="仿宋"/>
          <w:color w:val="auto"/>
          <w:sz w:val="32"/>
          <w:szCs w:val="32"/>
        </w:rPr>
      </w:pPr>
      <w:r>
        <w:rPr>
          <w:rFonts w:hint="eastAsia" w:ascii="仿宋" w:hAnsi="仿宋" w:eastAsia="仿宋"/>
          <w:color w:val="auto"/>
          <w:sz w:val="32"/>
          <w:szCs w:val="32"/>
        </w:rPr>
        <w:t>根据《中华人民共和国预算法》、《中华人民共和国预算法实施条例》、《行政单位财务规则》、《行政单位会计制度》、《事业单位财务规则》、《事业单位会计制度》等相关会计法律法规规定，结合本</w:t>
      </w:r>
      <w:r>
        <w:rPr>
          <w:rFonts w:hint="eastAsia" w:ascii="仿宋" w:hAnsi="仿宋" w:eastAsia="仿宋"/>
          <w:b w:val="0"/>
          <w:bCs/>
          <w:color w:val="auto"/>
          <w:sz w:val="32"/>
          <w:szCs w:val="32"/>
        </w:rPr>
        <w:t>部门</w:t>
      </w:r>
      <w:r>
        <w:rPr>
          <w:rFonts w:hint="eastAsia" w:ascii="仿宋" w:hAnsi="仿宋" w:eastAsia="仿宋"/>
          <w:color w:val="auto"/>
          <w:sz w:val="32"/>
          <w:szCs w:val="32"/>
        </w:rPr>
        <w:t>主要职能和工作任务编制2024年部门预算，现将有关情况说明如下：</w:t>
      </w:r>
    </w:p>
    <w:p>
      <w:pPr>
        <w:ind w:firstLine="643" w:firstLineChars="200"/>
        <w:rPr>
          <w:rFonts w:ascii="仿宋" w:hAnsi="仿宋" w:eastAsia="仿宋"/>
          <w:b/>
          <w:color w:val="auto"/>
          <w:sz w:val="32"/>
          <w:szCs w:val="32"/>
        </w:rPr>
      </w:pPr>
      <w:r>
        <w:rPr>
          <w:rFonts w:hint="eastAsia" w:ascii="仿宋" w:hAnsi="仿宋" w:eastAsia="仿宋"/>
          <w:b/>
          <w:color w:val="auto"/>
          <w:sz w:val="32"/>
          <w:szCs w:val="32"/>
        </w:rPr>
        <w:t>一、主要职责职能</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（一）坚持正确的政治方向,团结、教育全市各族各界妇女以及各类妇女组织自觉同党中央在思想上、政治上、行动上保持高度一致。</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二）贯彻落实中央、省、市关于妇女儿童工作的方针、政策,团结、动员、组织妇女群众紧密围绕党和政府的中心任务开展全市妇联工作,保持和增强妇联组织的政治性、先进性、群众性,积极促进经济发展和社会进步。</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（三）宣传马克思主义妇女观和男女平等基本国策,教育、引导妇女群众树立正确的世界观、人生观、价值观,弘扬中华民族传统美德和“自尊、自信、自立、自强”精神，加强家庭文明建设,积极培育良好家风。</w:t>
      </w:r>
    </w:p>
    <w:p>
      <w:pPr>
        <w:ind w:firstLine="640" w:firstLineChars="200"/>
        <w:rPr>
          <w:rFonts w:ascii="仿宋" w:hAnsi="仿宋" w:eastAsia="仿宋"/>
          <w:color w:val="auto"/>
          <w:sz w:val="32"/>
          <w:szCs w:val="32"/>
        </w:rPr>
      </w:pPr>
      <w:r>
        <w:rPr>
          <w:rFonts w:hint="eastAsia" w:ascii="仿宋" w:hAnsi="仿宋" w:eastAsia="仿宋"/>
          <w:color w:val="auto"/>
          <w:sz w:val="32"/>
          <w:szCs w:val="32"/>
        </w:rPr>
        <w:t>（四）代表妇女参与有关妇女儿童政策的拟定,从源头上强化维护妇女儿童合法权益工作,代表妇女参与国家和社会事务的民主管理和民主监督。</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（五）研究涉及妇女切身利益的热点难点问题,帮助妇女群众通过合法渠道、正常渠道、正常途径,合理伸张利益诉求,及时向市委反映社情民意,提出对策建议,积极促进社会公平正义。</w:t>
      </w:r>
    </w:p>
    <w:p>
      <w:pPr>
        <w:ind w:firstLine="640" w:firstLineChars="200"/>
        <w:rPr>
          <w:rFonts w:ascii="仿宋" w:hAnsi="仿宋" w:eastAsia="仿宋"/>
          <w:color w:val="auto"/>
          <w:sz w:val="32"/>
          <w:szCs w:val="32"/>
        </w:rPr>
      </w:pPr>
      <w:r>
        <w:rPr>
          <w:rFonts w:hint="eastAsia" w:ascii="仿宋" w:hAnsi="仿宋" w:eastAsia="仿宋"/>
          <w:color w:val="auto"/>
          <w:sz w:val="32"/>
          <w:szCs w:val="32"/>
        </w:rPr>
        <w:t>（六）坚持党建带妇建,提高妇联建设科学化水平,巩固妇建工作基础,扩大妇联的组织覆盖和工作覆盖,重点向非公有制经济组织、社会组织等新兴领域和村(社区)等基础领域延伸。</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（七）加强妇联网络和新媒体工作,开展网络学习宣传活动，正确引导互联网舆论。促进妇女工作线上线下融合,开发建设联系妇女群众的互联网平台。发挥移动互联网优势,促进妇联工作扁平化运转。</w:t>
      </w:r>
    </w:p>
    <w:p>
      <w:pPr>
        <w:ind w:firstLine="640" w:firstLineChars="200"/>
        <w:rPr>
          <w:rFonts w:ascii="仿宋" w:hAnsi="仿宋" w:eastAsia="仿宋"/>
          <w:color w:val="auto"/>
          <w:sz w:val="32"/>
          <w:szCs w:val="32"/>
        </w:rPr>
      </w:pPr>
      <w:r>
        <w:rPr>
          <w:rFonts w:hint="eastAsia" w:ascii="仿宋" w:hAnsi="仿宋" w:eastAsia="仿宋"/>
          <w:color w:val="auto"/>
          <w:sz w:val="32"/>
          <w:szCs w:val="32"/>
        </w:rPr>
        <w:t>（八）切实发挥妇联参与社会事务管理服务作用,按照法定程序承担转移的社会管理服务职能。打造妇联工作服务品牌。</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（九）依据《中华全国妇女联合会章程》和省、市妇女代表大会的任务,指导基层妇联开展妇女儿童工作;指导市妇联所属协会的工作;联系团体会员并给予工作指导。</w:t>
      </w:r>
    </w:p>
    <w:p>
      <w:pPr>
        <w:ind w:firstLine="640" w:firstLineChars="200"/>
        <w:rPr>
          <w:rFonts w:ascii="仿宋" w:hAnsi="仿宋" w:eastAsia="仿宋"/>
          <w:color w:val="auto"/>
          <w:sz w:val="32"/>
          <w:szCs w:val="32"/>
        </w:rPr>
      </w:pPr>
      <w:r>
        <w:rPr>
          <w:rFonts w:hint="eastAsia" w:ascii="仿宋" w:hAnsi="仿宋" w:eastAsia="仿宋"/>
          <w:color w:val="auto"/>
          <w:sz w:val="32"/>
          <w:szCs w:val="32"/>
        </w:rPr>
        <w:t>（十）加强全市专职、挂职、兼职妇联干部队伍建设推动选好配强各级妇联领导班子。强化妇联干部教育管理,提高综合素质,改进工作作风,严格考核监督。</w:t>
      </w:r>
    </w:p>
    <w:p>
      <w:pPr>
        <w:ind w:firstLine="640" w:firstLineChars="200"/>
        <w:rPr>
          <w:rFonts w:ascii="仿宋" w:hAnsi="仿宋" w:eastAsia="仿宋"/>
          <w:color w:val="auto"/>
          <w:sz w:val="32"/>
          <w:szCs w:val="32"/>
        </w:rPr>
      </w:pPr>
      <w:r>
        <w:rPr>
          <w:rFonts w:hint="eastAsia" w:ascii="仿宋" w:hAnsi="仿宋" w:eastAsia="仿宋"/>
          <w:color w:val="auto"/>
          <w:sz w:val="32"/>
          <w:szCs w:val="32"/>
        </w:rPr>
        <w:t>(十一)加强全市妇女统战、联谊工作,巩固扩大各族各界妇女的大团结，促进祖国统一和民族团结。</w:t>
      </w:r>
    </w:p>
    <w:p>
      <w:pPr>
        <w:ind w:firstLine="640" w:firstLineChars="200"/>
        <w:rPr>
          <w:rFonts w:ascii="仿宋" w:hAnsi="仿宋" w:eastAsia="仿宋"/>
          <w:color w:val="auto"/>
          <w:sz w:val="32"/>
          <w:szCs w:val="32"/>
        </w:rPr>
      </w:pPr>
      <w:r>
        <w:rPr>
          <w:rFonts w:hint="eastAsia" w:ascii="仿宋" w:hAnsi="仿宋" w:eastAsia="仿宋"/>
          <w:color w:val="auto"/>
          <w:sz w:val="32"/>
          <w:szCs w:val="32"/>
        </w:rPr>
        <w:t>(十二)承办市委、市政府交办的有关事项。</w:t>
      </w:r>
    </w:p>
    <w:p>
      <w:pPr>
        <w:ind w:firstLine="643" w:firstLineChars="200"/>
        <w:rPr>
          <w:rFonts w:ascii="仿宋" w:hAnsi="仿宋" w:eastAsia="仿宋"/>
          <w:b/>
          <w:color w:val="auto"/>
          <w:sz w:val="32"/>
          <w:szCs w:val="32"/>
        </w:rPr>
      </w:pPr>
      <w:r>
        <w:rPr>
          <w:rFonts w:hint="eastAsia" w:ascii="仿宋" w:hAnsi="仿宋" w:eastAsia="仿宋"/>
          <w:b/>
          <w:color w:val="auto"/>
          <w:sz w:val="32"/>
          <w:szCs w:val="32"/>
        </w:rPr>
        <w:t>二、机构设置</w:t>
      </w:r>
    </w:p>
    <w:p>
      <w:pPr>
        <w:ind w:firstLine="640" w:firstLineChars="200"/>
        <w:rPr>
          <w:rFonts w:ascii="仿宋" w:hAnsi="仿宋" w:eastAsia="仿宋" w:cs="Times New Roman"/>
          <w:color w:val="auto"/>
          <w:sz w:val="32"/>
          <w:szCs w:val="32"/>
        </w:rPr>
      </w:pPr>
      <w:r>
        <w:rPr>
          <w:rFonts w:hint="eastAsia" w:ascii="仿宋" w:hAnsi="仿宋" w:eastAsia="仿宋"/>
          <w:color w:val="auto"/>
          <w:sz w:val="32"/>
          <w:szCs w:val="32"/>
        </w:rPr>
        <w:t>（一）</w:t>
      </w:r>
      <w:r>
        <w:rPr>
          <w:rFonts w:ascii="仿宋" w:hAnsi="仿宋" w:eastAsia="仿宋" w:cs="Times New Roman"/>
          <w:color w:val="auto"/>
          <w:sz w:val="32"/>
          <w:szCs w:val="32"/>
        </w:rPr>
        <w:t>根据上述职责，</w:t>
      </w:r>
      <w:r>
        <w:rPr>
          <w:rFonts w:hint="eastAsia" w:ascii="仿宋" w:hAnsi="仿宋" w:eastAsia="仿宋" w:cs="Times New Roman"/>
          <w:color w:val="auto"/>
          <w:sz w:val="32"/>
          <w:szCs w:val="32"/>
        </w:rPr>
        <w:t>市妇联机关</w:t>
      </w:r>
      <w:r>
        <w:rPr>
          <w:rFonts w:ascii="仿宋" w:hAnsi="仿宋" w:eastAsia="仿宋" w:cs="Times New Roman"/>
          <w:color w:val="auto"/>
          <w:sz w:val="32"/>
          <w:szCs w:val="32"/>
        </w:rPr>
        <w:t>内设</w:t>
      </w:r>
      <w:r>
        <w:rPr>
          <w:rFonts w:hint="eastAsia" w:ascii="仿宋" w:hAnsi="仿宋" w:eastAsia="仿宋" w:cs="Times New Roman"/>
          <w:color w:val="auto"/>
          <w:sz w:val="32"/>
          <w:szCs w:val="32"/>
        </w:rPr>
        <w:t>3</w:t>
      </w:r>
      <w:r>
        <w:rPr>
          <w:rFonts w:ascii="仿宋" w:hAnsi="仿宋" w:eastAsia="仿宋" w:cs="Times New Roman"/>
          <w:color w:val="auto"/>
          <w:sz w:val="32"/>
          <w:szCs w:val="32"/>
        </w:rPr>
        <w:t>个机构，分别为</w:t>
      </w:r>
      <w:r>
        <w:rPr>
          <w:rFonts w:hint="eastAsia" w:ascii="仿宋" w:hAnsi="仿宋" w:eastAsia="仿宋" w:cs="Times New Roman"/>
          <w:color w:val="auto"/>
          <w:sz w:val="32"/>
          <w:szCs w:val="32"/>
        </w:rPr>
        <w:t>组织宣传部、家庭儿童部、发展维权部</w:t>
      </w:r>
      <w:r>
        <w:rPr>
          <w:rFonts w:ascii="仿宋" w:hAnsi="仿宋" w:eastAsia="仿宋" w:cs="Times New Roman"/>
          <w:color w:val="auto"/>
          <w:sz w:val="32"/>
          <w:szCs w:val="32"/>
        </w:rPr>
        <w:t>。</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1.组织宣传部</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负责妇联组织建设;联系服务以女性为主体和以女性为服务对象的社会组织;指导机关和各民主党派妇女工作;指导协调各级妇联干部培训工作;了解培养选拔女干部的工作情况，发现、考察、推荐各条战线优秀妇女人才，联系女领导干部;承担协助管理妇联系统干部的有关工作;做好少数民族、宗教界妇女工作。</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宣传党的路线方针政策，宣传马克思主义妇女观和男女平等的基本国策，宣传妇女和妇联工作;做好妇女工作的信息收集报送、政府信息公开、网络新媒体更新等工作;调查研究妇女的思想状况，有针对性地开展妇女的思想道德法律教育工作;负责全市妇女儿童事业发展的理论、政策的调查研究工作;负责全市妇女意识形态领域建设工作，组织开展旨在促进妇女进步、提高妇女素质、增进妇女健康的活动;负责“三八红旗手”、“三八红旗集体”等各类妇女先进典型的推荐、评选和表彰工作;负责协调各类新闻媒体，共同宣传妇女工作和妇女典型事迹;承担机关精神文明建设工作。</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负责机关日常运转，承担文电、档案、信息、保密、信访、财务、统计、资产管理、会务、接待、政务公开等工作。承担人事管理、劳动工资、机构编制等工作。</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2.家庭儿童部</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负责全市儿童、家庭工作的组织、协调、实施和督办;深化家庭文明建设，负责组织开展“最美庭”寻找工作;开展困境儿童关爱服务，资助受困女童，促进女童发展，指导家庭教育、困境儿童工作;负责家庭教育工作的协调与服务;指导基层建立“儿童之家”。</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3.发展维权部</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动员和组织妇女参与经济建设和社会发展，开发妇女人力资源;指导妇女创业就业工作，为妇女提供信息等服务，促进妇女创业带动就业和广泛平等就业;指导妇女文化科技培训和职业技能培训工作，提高妇女的文化科技素质和适应市场经济发展的能力，促进城乡妇女依靠科技致富;组织妇女开展“双学双比”、“巾帼建功”等竞赛活动;指导女企业家协会和女农民经济人开展活动。</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依法维护妇女儿童的合法权益，处理和接待日常群众来信来访工作;参与对重大典型信访案件的调查研究，为受害妇女儿童提供法律援助和社会服务;参与有关妇女儿童权益的法律、法规、条例的研究;运用多种形式向广大妇女宣传法律法规，帮助广大妇女提高法律意识和自我维权能力:参与社会管理综合治理和社会稳定工作;指导各级妇女组织信访维权工作;做好有关维护妇女儿童权益工作的各类评比表彰工作;参与有关普法工作。</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机关党支部。负责机关和直属单位的党群工作。</w:t>
      </w:r>
    </w:p>
    <w:p>
      <w:pPr>
        <w:ind w:firstLine="640" w:firstLineChars="200"/>
        <w:rPr>
          <w:rFonts w:ascii="仿宋" w:hAnsi="仿宋" w:eastAsia="仿宋"/>
          <w:color w:val="auto"/>
          <w:sz w:val="32"/>
          <w:szCs w:val="32"/>
        </w:rPr>
      </w:pPr>
      <w:r>
        <w:rPr>
          <w:rFonts w:hint="eastAsia" w:ascii="仿宋" w:hAnsi="仿宋" w:eastAsia="仿宋" w:cs="Times New Roman"/>
          <w:color w:val="auto"/>
          <w:sz w:val="32"/>
          <w:szCs w:val="32"/>
        </w:rPr>
        <w:t>下属事业单位：双辽市妇女就业服务中心，无经费。</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(二)双辽市妇女联合会设有行政编制5人,实有5人，工勤编制1人，实有1人,退休人员4人。下属事业单位双辽市妇女就业服务中心设有事业编制4人，实有4人.财政供养人数共14人。</w:t>
      </w:r>
    </w:p>
    <w:p>
      <w:pPr>
        <w:ind w:firstLine="643" w:firstLineChars="200"/>
        <w:rPr>
          <w:rFonts w:ascii="仿宋" w:hAnsi="仿宋" w:eastAsia="仿宋"/>
          <w:b/>
          <w:color w:val="auto"/>
          <w:sz w:val="32"/>
          <w:szCs w:val="32"/>
        </w:rPr>
      </w:pPr>
      <w:r>
        <w:rPr>
          <w:rFonts w:hint="eastAsia" w:ascii="仿宋" w:hAnsi="仿宋" w:eastAsia="仿宋"/>
          <w:b/>
          <w:color w:val="auto"/>
          <w:sz w:val="32"/>
          <w:szCs w:val="32"/>
        </w:rPr>
        <w:t>三、2024年工作目标及工作任务</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一）指导思想：以党的二十大精神为指导，认真贯彻落实新时代中国特色社会主义思想以及习近平总书记系列重要讲话特别是新时期妇女工作重要指示精神，切实把党中央战略部署转化为妇联工作任务和工作实效，凝聚巾帼合力，围绕中心，服务大局，深化思想政治引领、巾帼建功立业、巾帼温暖人心、巾帼平安创建、家家幸福安康等系列活动，团结引领广大妇女跟党奋进新征程、巾帼建功新时代，为全面建设社会主义现代化国家团结奋斗。</w:t>
      </w:r>
    </w:p>
    <w:p>
      <w:pPr>
        <w:snapToGrid w:val="0"/>
        <w:spacing w:line="560" w:lineRule="exact"/>
        <w:ind w:firstLine="640" w:firstLineChars="200"/>
        <w:jc w:val="left"/>
        <w:rPr>
          <w:rFonts w:ascii="仿宋" w:hAnsi="仿宋" w:eastAsia="仿宋"/>
          <w:color w:val="auto"/>
          <w:sz w:val="32"/>
          <w:szCs w:val="32"/>
        </w:rPr>
      </w:pPr>
      <w:r>
        <w:rPr>
          <w:rFonts w:hint="eastAsia" w:ascii="仿宋" w:hAnsi="仿宋" w:eastAsia="仿宋"/>
          <w:color w:val="auto"/>
          <w:sz w:val="32"/>
          <w:szCs w:val="32"/>
        </w:rPr>
        <w:t>（二）工作任务：一是强化思想引领，汇聚共同奋斗的巾帼力量。二是统筹城乡妇女发展，为广大妇女创业就业搭建平台。三是加强组织建设，使妇联组织成为广大妇女群众的温暖之家。四是关注弱势群体，积极维护社会稳定和谐。</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三）工作目标：深入贯彻党的二十大精神，紧紧围绕四平“三三九一”战略、双辽“1556”战略目标任务，坚持以习近平新时代中国特色社会主义思想为根本指导，以引领妇女听党话跟党走为根本方向，以服务党政工作为根本宗旨，以联系妇女群众为根本任务，为推动双辽全面振兴实现新突破作出新的更大贡献。</w:t>
      </w:r>
    </w:p>
    <w:p>
      <w:pPr>
        <w:ind w:firstLine="643" w:firstLineChars="200"/>
        <w:rPr>
          <w:rFonts w:ascii="仿宋" w:hAnsi="仿宋" w:eastAsia="仿宋"/>
          <w:b/>
          <w:color w:val="auto"/>
          <w:sz w:val="32"/>
          <w:szCs w:val="32"/>
        </w:rPr>
      </w:pPr>
      <w:r>
        <w:rPr>
          <w:rFonts w:hint="eastAsia" w:ascii="仿宋" w:hAnsi="仿宋" w:eastAsia="仿宋"/>
          <w:b/>
          <w:color w:val="auto"/>
          <w:sz w:val="32"/>
          <w:szCs w:val="32"/>
        </w:rPr>
        <w:t>四、</w:t>
      </w:r>
      <w:r>
        <w:rPr>
          <w:rFonts w:hint="eastAsia" w:ascii="仿宋" w:hAnsi="仿宋" w:eastAsia="仿宋" w:cs="Times New Roman"/>
          <w:b/>
          <w:color w:val="auto"/>
          <w:sz w:val="32"/>
          <w:szCs w:val="32"/>
        </w:rPr>
        <w:t>2024</w:t>
      </w:r>
      <w:r>
        <w:rPr>
          <w:rFonts w:ascii="仿宋" w:hAnsi="仿宋" w:eastAsia="仿宋" w:cs="Times New Roman"/>
          <w:b/>
          <w:color w:val="auto"/>
          <w:sz w:val="32"/>
          <w:szCs w:val="32"/>
        </w:rPr>
        <w:t>年收支预算总体情况</w:t>
      </w:r>
    </w:p>
    <w:p>
      <w:pPr>
        <w:ind w:firstLine="480" w:firstLineChars="150"/>
        <w:rPr>
          <w:rFonts w:ascii="仿宋" w:hAnsi="仿宋" w:eastAsia="仿宋"/>
          <w:b/>
          <w:color w:val="auto"/>
          <w:sz w:val="32"/>
          <w:szCs w:val="32"/>
          <w:u w:val="single"/>
        </w:rPr>
      </w:pPr>
      <w:r>
        <w:rPr>
          <w:rFonts w:ascii="仿宋" w:hAnsi="仿宋" w:eastAsia="仿宋" w:cs="Times New Roman"/>
          <w:color w:val="auto"/>
          <w:sz w:val="32"/>
          <w:szCs w:val="32"/>
        </w:rPr>
        <w:t>按照综合预算的原则，所有收入和支出全部纳入部门预</w:t>
      </w:r>
      <w:bookmarkStart w:id="0" w:name="_GoBack"/>
      <w:bookmarkEnd w:id="0"/>
      <w:r>
        <w:rPr>
          <w:rFonts w:ascii="仿宋" w:hAnsi="仿宋" w:eastAsia="仿宋" w:cs="Times New Roman"/>
          <w:color w:val="auto"/>
          <w:sz w:val="32"/>
          <w:szCs w:val="32"/>
        </w:rPr>
        <w:t>算管理。收入包括：一般公共预算拨款收入、政府性基金预算拨款收入、</w:t>
      </w:r>
      <w:r>
        <w:rPr>
          <w:rFonts w:hint="eastAsia" w:ascii="仿宋" w:hAnsi="仿宋" w:eastAsia="仿宋" w:cs="Times New Roman"/>
          <w:color w:val="auto"/>
          <w:sz w:val="32"/>
          <w:szCs w:val="32"/>
        </w:rPr>
        <w:t>国有资本经营预算拨款收入、财政专户管理资金收入、</w:t>
      </w:r>
      <w:r>
        <w:rPr>
          <w:rFonts w:ascii="仿宋" w:hAnsi="仿宋" w:eastAsia="仿宋" w:cs="Times New Roman"/>
          <w:color w:val="auto"/>
          <w:sz w:val="32"/>
          <w:szCs w:val="32"/>
        </w:rPr>
        <w:t>事业收入、</w:t>
      </w:r>
      <w:r>
        <w:rPr>
          <w:rFonts w:hint="eastAsia" w:ascii="仿宋" w:hAnsi="仿宋" w:eastAsia="仿宋" w:cs="Times New Roman"/>
          <w:color w:val="auto"/>
          <w:sz w:val="32"/>
          <w:szCs w:val="32"/>
        </w:rPr>
        <w:t>上级补助收入</w:t>
      </w:r>
      <w:r>
        <w:rPr>
          <w:rFonts w:ascii="仿宋" w:hAnsi="仿宋" w:eastAsia="仿宋" w:cs="Times New Roman"/>
          <w:color w:val="auto"/>
          <w:sz w:val="32"/>
          <w:szCs w:val="32"/>
        </w:rPr>
        <w:t>、</w:t>
      </w:r>
      <w:r>
        <w:rPr>
          <w:rFonts w:hint="eastAsia" w:ascii="仿宋" w:hAnsi="仿宋" w:eastAsia="仿宋" w:cs="Times New Roman"/>
          <w:color w:val="auto"/>
          <w:sz w:val="32"/>
          <w:szCs w:val="32"/>
        </w:rPr>
        <w:t>附属单位上缴收入、</w:t>
      </w:r>
      <w:r>
        <w:rPr>
          <w:rFonts w:ascii="仿宋" w:hAnsi="仿宋" w:eastAsia="仿宋" w:cs="Times New Roman"/>
          <w:color w:val="auto"/>
          <w:sz w:val="32"/>
          <w:szCs w:val="32"/>
        </w:rPr>
        <w:t>事业单位经营收入</w:t>
      </w:r>
      <w:r>
        <w:rPr>
          <w:rFonts w:hint="eastAsia" w:ascii="仿宋" w:hAnsi="仿宋" w:eastAsia="仿宋" w:cs="Times New Roman"/>
          <w:color w:val="auto"/>
          <w:sz w:val="32"/>
          <w:szCs w:val="32"/>
        </w:rPr>
        <w:t>、</w:t>
      </w:r>
      <w:r>
        <w:rPr>
          <w:rFonts w:ascii="仿宋" w:hAnsi="仿宋" w:eastAsia="仿宋" w:cs="Times New Roman"/>
          <w:color w:val="auto"/>
          <w:sz w:val="32"/>
          <w:szCs w:val="32"/>
        </w:rPr>
        <w:t>其他收入、用事业基金弥补收支差额、上年结转</w:t>
      </w:r>
      <w:r>
        <w:rPr>
          <w:rFonts w:hint="eastAsia" w:ascii="仿宋" w:hAnsi="仿宋" w:eastAsia="仿宋" w:cs="Times New Roman"/>
          <w:color w:val="auto"/>
          <w:sz w:val="32"/>
          <w:szCs w:val="32"/>
        </w:rPr>
        <w:t>结余</w:t>
      </w:r>
      <w:r>
        <w:rPr>
          <w:rFonts w:ascii="仿宋" w:hAnsi="仿宋" w:eastAsia="仿宋" w:cs="Times New Roman"/>
          <w:color w:val="auto"/>
          <w:sz w:val="32"/>
          <w:szCs w:val="32"/>
        </w:rPr>
        <w:t>等；支出包括：</w:t>
      </w:r>
      <w:r>
        <w:rPr>
          <w:rFonts w:hint="eastAsia" w:ascii="仿宋" w:hAnsi="仿宋" w:eastAsia="仿宋" w:cs="Times New Roman"/>
          <w:color w:val="auto"/>
          <w:sz w:val="32"/>
          <w:szCs w:val="32"/>
        </w:rPr>
        <w:t>群众团体事务、社会保障和就业支出、卫生健康支出、住房保障支出。</w:t>
      </w:r>
    </w:p>
    <w:p>
      <w:pPr>
        <w:ind w:firstLine="640" w:firstLineChars="200"/>
        <w:rPr>
          <w:rFonts w:ascii="仿宋" w:hAnsi="仿宋" w:eastAsia="仿宋"/>
          <w:color w:val="auto"/>
          <w:sz w:val="32"/>
          <w:szCs w:val="32"/>
        </w:rPr>
      </w:pPr>
      <w:r>
        <w:rPr>
          <w:rFonts w:hint="eastAsia" w:ascii="仿宋" w:hAnsi="仿宋" w:eastAsia="仿宋" w:cs="Times New Roman"/>
          <w:color w:val="auto"/>
          <w:sz w:val="32"/>
          <w:szCs w:val="32"/>
        </w:rPr>
        <w:t>2024</w:t>
      </w:r>
      <w:r>
        <w:rPr>
          <w:rFonts w:ascii="仿宋" w:hAnsi="仿宋" w:eastAsia="仿宋" w:cs="Times New Roman"/>
          <w:color w:val="auto"/>
          <w:sz w:val="32"/>
          <w:szCs w:val="32"/>
        </w:rPr>
        <w:t>年收支总预算</w:t>
      </w:r>
      <w:r>
        <w:rPr>
          <w:rFonts w:hint="eastAsia" w:ascii="仿宋" w:hAnsi="仿宋" w:eastAsia="仿宋" w:cs="Times New Roman"/>
          <w:color w:val="auto"/>
          <w:sz w:val="32"/>
          <w:szCs w:val="32"/>
        </w:rPr>
        <w:t>106.52</w:t>
      </w:r>
      <w:r>
        <w:rPr>
          <w:rFonts w:ascii="仿宋" w:hAnsi="仿宋" w:eastAsia="仿宋" w:cs="Times New Roman"/>
          <w:color w:val="auto"/>
          <w:sz w:val="32"/>
          <w:szCs w:val="32"/>
        </w:rPr>
        <w:t>万元</w:t>
      </w:r>
      <w:r>
        <w:rPr>
          <w:rFonts w:hint="eastAsia" w:ascii="仿宋" w:hAnsi="仿宋" w:eastAsia="仿宋" w:cs="Times New Roman"/>
          <w:color w:val="auto"/>
          <w:sz w:val="32"/>
          <w:szCs w:val="32"/>
        </w:rPr>
        <w:t>，其中：当年预算106.52万元；上年结转0万元。2024年当年预算</w:t>
      </w:r>
      <w:r>
        <w:rPr>
          <w:rFonts w:ascii="仿宋" w:hAnsi="仿宋" w:eastAsia="仿宋" w:cs="Times New Roman"/>
          <w:color w:val="auto"/>
          <w:sz w:val="32"/>
          <w:szCs w:val="32"/>
        </w:rPr>
        <w:t>比</w:t>
      </w:r>
      <w:r>
        <w:rPr>
          <w:rFonts w:hint="eastAsia" w:ascii="仿宋" w:hAnsi="仿宋" w:eastAsia="仿宋" w:cs="Times New Roman"/>
          <w:color w:val="auto"/>
          <w:sz w:val="32"/>
          <w:szCs w:val="32"/>
        </w:rPr>
        <w:t>2023</w:t>
      </w:r>
      <w:r>
        <w:rPr>
          <w:rFonts w:ascii="仿宋" w:hAnsi="仿宋" w:eastAsia="仿宋" w:cs="Times New Roman"/>
          <w:color w:val="auto"/>
          <w:sz w:val="32"/>
          <w:szCs w:val="32"/>
        </w:rPr>
        <w:t>年预算减少</w:t>
      </w:r>
      <w:r>
        <w:rPr>
          <w:rFonts w:hint="eastAsia" w:ascii="仿宋" w:hAnsi="仿宋" w:eastAsia="仿宋" w:cs="Times New Roman"/>
          <w:color w:val="auto"/>
          <w:sz w:val="32"/>
          <w:szCs w:val="32"/>
        </w:rPr>
        <w:t>12.1</w:t>
      </w:r>
      <w:r>
        <w:rPr>
          <w:rFonts w:ascii="仿宋" w:hAnsi="仿宋" w:eastAsia="仿宋" w:cs="Times New Roman"/>
          <w:color w:val="auto"/>
          <w:sz w:val="32"/>
          <w:szCs w:val="32"/>
        </w:rPr>
        <w:t>万元，主要原因是</w:t>
      </w:r>
      <w:r>
        <w:rPr>
          <w:rFonts w:hint="eastAsia" w:ascii="仿宋" w:hAnsi="仿宋" w:eastAsia="仿宋" w:cs="Times New Roman"/>
          <w:color w:val="auto"/>
          <w:sz w:val="32"/>
          <w:szCs w:val="32"/>
        </w:rPr>
        <w:t>过紧日子，压减项目支出</w:t>
      </w:r>
      <w:r>
        <w:rPr>
          <w:rFonts w:ascii="仿宋" w:hAnsi="仿宋" w:eastAsia="仿宋" w:cs="Times New Roman"/>
          <w:color w:val="auto"/>
          <w:sz w:val="32"/>
          <w:szCs w:val="32"/>
        </w:rPr>
        <w:t>。</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（一）收入</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2024</w:t>
      </w:r>
      <w:r>
        <w:rPr>
          <w:rFonts w:ascii="仿宋" w:hAnsi="仿宋" w:eastAsia="仿宋" w:cs="Times New Roman"/>
          <w:color w:val="auto"/>
          <w:sz w:val="32"/>
          <w:szCs w:val="32"/>
        </w:rPr>
        <w:t>年收入预算</w:t>
      </w:r>
      <w:r>
        <w:rPr>
          <w:rFonts w:hint="eastAsia" w:ascii="仿宋" w:hAnsi="仿宋" w:eastAsia="仿宋" w:cs="Times New Roman"/>
          <w:color w:val="auto"/>
          <w:sz w:val="32"/>
          <w:szCs w:val="32"/>
        </w:rPr>
        <w:t>106.52</w:t>
      </w:r>
      <w:r>
        <w:rPr>
          <w:rFonts w:ascii="仿宋" w:hAnsi="仿宋" w:eastAsia="仿宋" w:cs="Times New Roman"/>
          <w:color w:val="auto"/>
          <w:sz w:val="32"/>
          <w:szCs w:val="32"/>
        </w:rPr>
        <w:t>万元，其中：本年收入</w:t>
      </w:r>
      <w:r>
        <w:rPr>
          <w:rFonts w:hint="eastAsia" w:ascii="仿宋" w:hAnsi="仿宋" w:eastAsia="仿宋" w:cs="Times New Roman"/>
          <w:color w:val="auto"/>
          <w:sz w:val="32"/>
          <w:szCs w:val="32"/>
        </w:rPr>
        <w:t>106.52</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100</w:t>
      </w:r>
      <w:r>
        <w:rPr>
          <w:rFonts w:ascii="仿宋" w:hAnsi="仿宋" w:eastAsia="仿宋" w:cs="Times New Roman"/>
          <w:color w:val="auto"/>
          <w:sz w:val="32"/>
          <w:szCs w:val="32"/>
        </w:rPr>
        <w:t>%；上年结转</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%。本年收入中，一般公共预算拨款收入</w:t>
      </w:r>
      <w:r>
        <w:rPr>
          <w:rFonts w:hint="eastAsia" w:ascii="仿宋" w:hAnsi="仿宋" w:eastAsia="仿宋" w:cs="Times New Roman"/>
          <w:color w:val="auto"/>
          <w:sz w:val="32"/>
          <w:szCs w:val="32"/>
        </w:rPr>
        <w:t>106.52</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100</w:t>
      </w:r>
      <w:r>
        <w:rPr>
          <w:rFonts w:ascii="仿宋" w:hAnsi="仿宋" w:eastAsia="仿宋" w:cs="Times New Roman"/>
          <w:color w:val="auto"/>
          <w:sz w:val="32"/>
          <w:szCs w:val="32"/>
        </w:rPr>
        <w:t>%；政府性基金预算拨款收入</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w:t>
      </w:r>
      <w:r>
        <w:rPr>
          <w:rFonts w:hint="eastAsia" w:ascii="仿宋" w:hAnsi="仿宋" w:eastAsia="仿宋" w:cs="Times New Roman"/>
          <w:color w:val="auto"/>
          <w:sz w:val="32"/>
          <w:szCs w:val="32"/>
        </w:rPr>
        <w:t>国有资本经营</w:t>
      </w:r>
      <w:r>
        <w:rPr>
          <w:rFonts w:ascii="仿宋" w:hAnsi="仿宋" w:eastAsia="仿宋" w:cs="Times New Roman"/>
          <w:color w:val="auto"/>
          <w:sz w:val="32"/>
          <w:szCs w:val="32"/>
        </w:rPr>
        <w:t>预算拨款收入</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w:t>
      </w:r>
      <w:r>
        <w:rPr>
          <w:rFonts w:hint="eastAsia" w:ascii="仿宋" w:hAnsi="仿宋" w:eastAsia="仿宋" w:cs="Times New Roman"/>
          <w:color w:val="auto"/>
          <w:sz w:val="32"/>
          <w:szCs w:val="32"/>
        </w:rPr>
        <w:t>财政专户管理资金收入0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%；事业收入</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w:t>
      </w:r>
      <w:r>
        <w:rPr>
          <w:rFonts w:hint="eastAsia" w:ascii="仿宋" w:hAnsi="仿宋" w:eastAsia="仿宋" w:cs="Times New Roman"/>
          <w:color w:val="auto"/>
          <w:sz w:val="32"/>
          <w:szCs w:val="32"/>
        </w:rPr>
        <w:t>上级补助收入0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w:t>
      </w:r>
      <w:r>
        <w:rPr>
          <w:rFonts w:hint="eastAsia" w:ascii="仿宋" w:hAnsi="仿宋" w:eastAsia="仿宋" w:cs="Times New Roman"/>
          <w:color w:val="auto"/>
          <w:sz w:val="32"/>
          <w:szCs w:val="32"/>
        </w:rPr>
        <w:t>附属单位上缴收入0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%；事业单位经营收入</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%；其他收入</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w:t>
      </w:r>
      <w:r>
        <w:rPr>
          <w:rFonts w:hint="eastAsia" w:ascii="仿宋" w:hAnsi="仿宋" w:eastAsia="仿宋" w:cs="Times New Roman"/>
          <w:color w:val="auto"/>
          <w:sz w:val="32"/>
          <w:szCs w:val="32"/>
        </w:rPr>
        <w:t>。</w:t>
      </w:r>
      <w:r>
        <w:rPr>
          <w:rFonts w:ascii="仿宋" w:hAnsi="仿宋" w:eastAsia="仿宋" w:cs="Times New Roman"/>
          <w:color w:val="auto"/>
          <w:sz w:val="32"/>
          <w:szCs w:val="32"/>
        </w:rPr>
        <w:t>上年结转</w:t>
      </w:r>
      <w:r>
        <w:rPr>
          <w:rFonts w:hint="eastAsia" w:ascii="仿宋" w:hAnsi="仿宋" w:eastAsia="仿宋" w:cs="Times New Roman"/>
          <w:color w:val="auto"/>
          <w:sz w:val="32"/>
          <w:szCs w:val="32"/>
        </w:rPr>
        <w:t>中，一般公共预算拨款结转0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w:t>
      </w:r>
      <w:r>
        <w:rPr>
          <w:rFonts w:hint="eastAsia" w:ascii="仿宋" w:hAnsi="仿宋" w:eastAsia="仿宋" w:cs="Times New Roman"/>
          <w:color w:val="auto"/>
          <w:sz w:val="32"/>
          <w:szCs w:val="32"/>
        </w:rPr>
        <w:t>政府性基金预算拨款结转0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w:t>
      </w:r>
      <w:r>
        <w:rPr>
          <w:rFonts w:hint="eastAsia" w:ascii="仿宋" w:hAnsi="仿宋" w:eastAsia="仿宋" w:cs="Times New Roman"/>
          <w:color w:val="auto"/>
          <w:sz w:val="32"/>
          <w:szCs w:val="32"/>
        </w:rPr>
        <w:t>国有资本经营预算拨款结转0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w:t>
      </w:r>
      <w:r>
        <w:rPr>
          <w:rFonts w:hint="eastAsia" w:ascii="仿宋" w:hAnsi="仿宋" w:eastAsia="仿宋" w:cs="Times New Roman"/>
          <w:color w:val="auto"/>
          <w:sz w:val="32"/>
          <w:szCs w:val="32"/>
        </w:rPr>
        <w:t>财政专户管理资金结转结余0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w:t>
      </w:r>
      <w:r>
        <w:rPr>
          <w:rFonts w:hint="eastAsia" w:ascii="仿宋" w:hAnsi="仿宋" w:eastAsia="仿宋" w:cs="Times New Roman"/>
          <w:color w:val="auto"/>
          <w:sz w:val="32"/>
          <w:szCs w:val="32"/>
        </w:rPr>
        <w:t>单位资金结转0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w:t>
      </w:r>
      <w:r>
        <w:rPr>
          <w:rFonts w:hint="eastAsia" w:ascii="仿宋" w:hAnsi="仿宋" w:eastAsia="仿宋" w:cs="Times New Roman"/>
          <w:color w:val="auto"/>
          <w:sz w:val="32"/>
          <w:szCs w:val="32"/>
        </w:rPr>
        <w:t>用事业基金弥补收支差额0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w:t>
      </w:r>
      <w:r>
        <w:rPr>
          <w:rFonts w:hint="eastAsia" w:ascii="仿宋" w:hAnsi="仿宋" w:eastAsia="仿宋" w:cs="Times New Roman"/>
          <w:color w:val="auto"/>
          <w:sz w:val="32"/>
          <w:szCs w:val="32"/>
        </w:rPr>
        <w:t>。</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（二）支出</w:t>
      </w:r>
    </w:p>
    <w:p>
      <w:pPr>
        <w:ind w:firstLine="640" w:firstLineChars="200"/>
        <w:rPr>
          <w:rFonts w:ascii="仿宋" w:hAnsi="仿宋" w:eastAsia="仿宋" w:cs="Times New Roman"/>
          <w:color w:val="auto"/>
          <w:sz w:val="32"/>
          <w:szCs w:val="32"/>
        </w:rPr>
      </w:pPr>
      <w:r>
        <w:rPr>
          <w:rFonts w:hint="eastAsia" w:ascii="仿宋" w:hAnsi="仿宋" w:eastAsia="仿宋"/>
          <w:color w:val="auto"/>
          <w:sz w:val="32"/>
          <w:szCs w:val="32"/>
        </w:rPr>
        <w:t>2024年预算支出</w:t>
      </w:r>
      <w:r>
        <w:rPr>
          <w:rFonts w:hint="eastAsia" w:ascii="仿宋" w:hAnsi="仿宋" w:eastAsia="仿宋" w:cs="Times New Roman"/>
          <w:color w:val="auto"/>
          <w:sz w:val="32"/>
          <w:szCs w:val="32"/>
        </w:rPr>
        <w:t>106.52</w:t>
      </w:r>
      <w:r>
        <w:rPr>
          <w:rFonts w:hint="eastAsia" w:ascii="仿宋" w:hAnsi="仿宋" w:eastAsia="仿宋"/>
          <w:color w:val="auto"/>
          <w:sz w:val="32"/>
          <w:szCs w:val="32"/>
        </w:rPr>
        <w:t>万元，</w:t>
      </w:r>
      <w:r>
        <w:rPr>
          <w:rFonts w:ascii="仿宋" w:hAnsi="仿宋" w:eastAsia="仿宋" w:cs="Times New Roman"/>
          <w:color w:val="auto"/>
          <w:sz w:val="32"/>
          <w:szCs w:val="32"/>
        </w:rPr>
        <w:t>其中：基本支出</w:t>
      </w:r>
      <w:r>
        <w:rPr>
          <w:rFonts w:hint="eastAsia" w:ascii="仿宋" w:hAnsi="仿宋" w:eastAsia="仿宋" w:cs="Times New Roman"/>
          <w:color w:val="auto"/>
          <w:sz w:val="32"/>
          <w:szCs w:val="32"/>
        </w:rPr>
        <w:t>106.52</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100</w:t>
      </w:r>
      <w:r>
        <w:rPr>
          <w:rFonts w:ascii="仿宋" w:hAnsi="仿宋" w:eastAsia="仿宋" w:cs="Times New Roman"/>
          <w:color w:val="auto"/>
          <w:sz w:val="32"/>
          <w:szCs w:val="32"/>
        </w:rPr>
        <w:t>%；项目支出</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%；事业单位经营支出</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%；上缴上级支出</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%；对附属单位补助支出</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万元，占</w:t>
      </w:r>
      <w:r>
        <w:rPr>
          <w:rFonts w:hint="eastAsia" w:ascii="仿宋" w:hAnsi="仿宋" w:eastAsia="仿宋" w:cs="Times New Roman"/>
          <w:color w:val="auto"/>
          <w:sz w:val="32"/>
          <w:szCs w:val="32"/>
        </w:rPr>
        <w:t>0</w:t>
      </w:r>
      <w:r>
        <w:rPr>
          <w:rFonts w:ascii="仿宋" w:hAnsi="仿宋" w:eastAsia="仿宋" w:cs="Times New Roman"/>
          <w:color w:val="auto"/>
          <w:sz w:val="32"/>
          <w:szCs w:val="32"/>
        </w:rPr>
        <w:t>%。</w:t>
      </w:r>
    </w:p>
    <w:p>
      <w:pPr>
        <w:ind w:firstLine="640" w:firstLineChars="200"/>
        <w:rPr>
          <w:rFonts w:ascii="仿宋" w:hAnsi="仿宋" w:eastAsia="仿宋"/>
          <w:b w:val="0"/>
          <w:bCs/>
          <w:color w:val="auto"/>
          <w:sz w:val="32"/>
          <w:szCs w:val="32"/>
        </w:rPr>
      </w:pPr>
      <w:r>
        <w:rPr>
          <w:rFonts w:hint="eastAsia" w:ascii="仿宋" w:hAnsi="仿宋" w:eastAsia="仿宋"/>
          <w:color w:val="auto"/>
          <w:sz w:val="32"/>
          <w:szCs w:val="32"/>
        </w:rPr>
        <w:t>1.人员方面的支出</w:t>
      </w:r>
      <w:r>
        <w:rPr>
          <w:rFonts w:hint="eastAsia" w:ascii="仿宋" w:hAnsi="仿宋" w:eastAsia="仿宋" w:cs="Times New Roman"/>
          <w:color w:val="auto"/>
          <w:sz w:val="32"/>
          <w:szCs w:val="32"/>
        </w:rPr>
        <w:t>96.62</w:t>
      </w:r>
      <w:r>
        <w:rPr>
          <w:rFonts w:hint="eastAsia" w:ascii="仿宋" w:hAnsi="仿宋" w:eastAsia="仿宋"/>
          <w:color w:val="auto"/>
          <w:sz w:val="32"/>
          <w:szCs w:val="32"/>
        </w:rPr>
        <w:t>万元，</w:t>
      </w:r>
      <w:r>
        <w:rPr>
          <w:rFonts w:ascii="仿宋" w:hAnsi="仿宋" w:eastAsia="仿宋" w:cs="Times New Roman"/>
          <w:color w:val="auto"/>
          <w:sz w:val="32"/>
          <w:szCs w:val="32"/>
        </w:rPr>
        <w:t>主要包括：基本工资、津贴补贴、奖金、社会保障缴费、其他工资福利支出、离休费、退休费、抚恤金、生活补助、助学金、住房公积金、采暖补贴、其他对个人和家庭的补助支出。</w:t>
      </w:r>
      <w:r>
        <w:rPr>
          <w:rFonts w:hint="eastAsia" w:ascii="仿宋" w:hAnsi="仿宋" w:eastAsia="仿宋"/>
          <w:b w:val="0"/>
          <w:bCs/>
          <w:color w:val="auto"/>
          <w:sz w:val="32"/>
          <w:szCs w:val="32"/>
        </w:rPr>
        <w:t>与上年预算支出相比增加0.29万元，原因是社保基数增加。</w:t>
      </w:r>
    </w:p>
    <w:p>
      <w:pPr>
        <w:ind w:firstLine="640" w:firstLineChars="200"/>
        <w:rPr>
          <w:rFonts w:ascii="仿宋" w:hAnsi="仿宋" w:eastAsia="仿宋"/>
          <w:b w:val="0"/>
          <w:bCs/>
          <w:color w:val="auto"/>
          <w:sz w:val="32"/>
          <w:szCs w:val="32"/>
        </w:rPr>
      </w:pPr>
      <w:r>
        <w:rPr>
          <w:rFonts w:hint="eastAsia" w:ascii="仿宋" w:hAnsi="仿宋" w:eastAsia="仿宋"/>
          <w:color w:val="auto"/>
          <w:sz w:val="32"/>
          <w:szCs w:val="32"/>
        </w:rPr>
        <w:t>2.</w:t>
      </w:r>
      <w:r>
        <w:rPr>
          <w:rFonts w:hint="eastAsia" w:ascii="仿宋" w:hAnsi="仿宋" w:eastAsia="仿宋" w:cs="Times New Roman"/>
          <w:color w:val="auto"/>
          <w:sz w:val="32"/>
          <w:szCs w:val="30"/>
        </w:rPr>
        <w:t>机关运行经费(公用经费)</w:t>
      </w:r>
      <w:r>
        <w:rPr>
          <w:rFonts w:hint="eastAsia" w:ascii="仿宋" w:hAnsi="仿宋" w:eastAsia="仿宋" w:cs="Times New Roman"/>
          <w:color w:val="auto"/>
          <w:sz w:val="32"/>
          <w:szCs w:val="32"/>
        </w:rPr>
        <w:t>9.9</w:t>
      </w:r>
      <w:r>
        <w:rPr>
          <w:rFonts w:hint="eastAsia" w:ascii="仿宋" w:hAnsi="仿宋" w:eastAsia="仿宋"/>
          <w:color w:val="auto"/>
          <w:sz w:val="32"/>
          <w:szCs w:val="32"/>
        </w:rPr>
        <w:t>万元</w:t>
      </w:r>
      <w:r>
        <w:rPr>
          <w:rFonts w:hint="eastAsia" w:ascii="仿宋" w:hAnsi="仿宋" w:eastAsia="仿宋" w:cs="仿宋"/>
          <w:bCs/>
          <w:color w:val="auto"/>
          <w:sz w:val="32"/>
          <w:szCs w:val="32"/>
        </w:rPr>
        <w:t>，</w:t>
      </w:r>
      <w:r>
        <w:rPr>
          <w:rFonts w:ascii="仿宋" w:hAnsi="仿宋" w:eastAsia="仿宋" w:cs="Times New Roman"/>
          <w:color w:val="auto"/>
          <w:sz w:val="32"/>
          <w:szCs w:val="32"/>
        </w:rPr>
        <w:t>主要包括：</w:t>
      </w:r>
      <w:r>
        <w:rPr>
          <w:rFonts w:hint="eastAsia" w:ascii="仿宋" w:hAnsi="仿宋" w:eastAsia="仿宋" w:cs="仿宋"/>
          <w:bCs/>
          <w:color w:val="auto"/>
          <w:sz w:val="32"/>
          <w:szCs w:val="32"/>
        </w:rPr>
        <w:t>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r>
        <w:rPr>
          <w:rFonts w:hint="eastAsia" w:ascii="仿宋" w:hAnsi="仿宋" w:eastAsia="仿宋"/>
          <w:b w:val="0"/>
          <w:bCs/>
          <w:color w:val="auto"/>
          <w:sz w:val="32"/>
          <w:szCs w:val="32"/>
        </w:rPr>
        <w:t>与上年预算支出相比减少0.39万元，原因是过紧日子，减少经费支出。</w:t>
      </w:r>
    </w:p>
    <w:p>
      <w:pPr>
        <w:ind w:firstLine="640" w:firstLineChars="200"/>
        <w:rPr>
          <w:rFonts w:ascii="仿宋" w:hAnsi="仿宋" w:eastAsia="仿宋"/>
          <w:b w:val="0"/>
          <w:bCs/>
          <w:color w:val="auto"/>
          <w:sz w:val="32"/>
          <w:szCs w:val="32"/>
        </w:rPr>
      </w:pPr>
      <w:r>
        <w:rPr>
          <w:rFonts w:hint="eastAsia" w:ascii="仿宋" w:hAnsi="仿宋" w:eastAsia="仿宋"/>
          <w:b w:val="0"/>
          <w:bCs/>
          <w:color w:val="auto"/>
          <w:sz w:val="32"/>
          <w:szCs w:val="32"/>
        </w:rPr>
        <w:t>行政单位机关运行经费为公用经费，事业单位无机关运行经费。公用经费安排情况详见一般公共预算财政拨款经济分类支出预算表。</w:t>
      </w:r>
    </w:p>
    <w:p>
      <w:pPr>
        <w:ind w:firstLine="640" w:firstLineChars="200"/>
        <w:rPr>
          <w:rFonts w:ascii="仿宋" w:hAnsi="仿宋" w:eastAsia="仿宋"/>
          <w:color w:val="auto"/>
          <w:sz w:val="32"/>
          <w:szCs w:val="32"/>
        </w:rPr>
      </w:pPr>
      <w:r>
        <w:rPr>
          <w:rFonts w:hint="eastAsia" w:ascii="仿宋" w:hAnsi="仿宋" w:eastAsia="仿宋"/>
          <w:color w:val="auto"/>
          <w:sz w:val="32"/>
          <w:szCs w:val="32"/>
        </w:rPr>
        <w:t>（三）</w:t>
      </w:r>
      <w:r>
        <w:rPr>
          <w:rFonts w:hint="eastAsia" w:ascii="仿宋" w:hAnsi="仿宋" w:eastAsia="仿宋" w:cs="Times New Roman"/>
          <w:color w:val="auto"/>
          <w:sz w:val="32"/>
          <w:szCs w:val="32"/>
        </w:rPr>
        <w:t>2024年度重点项目</w:t>
      </w:r>
      <w:r>
        <w:rPr>
          <w:rFonts w:hint="eastAsia" w:ascii="仿宋" w:hAnsi="仿宋" w:eastAsia="仿宋"/>
          <w:color w:val="auto"/>
          <w:sz w:val="32"/>
          <w:szCs w:val="32"/>
        </w:rPr>
        <w:t>预算绩效情况说明</w:t>
      </w:r>
    </w:p>
    <w:p>
      <w:pPr>
        <w:ind w:firstLine="640" w:firstLineChars="200"/>
        <w:rPr>
          <w:rFonts w:ascii="仿宋" w:hAnsi="仿宋" w:eastAsia="仿宋" w:cs="Times New Roman"/>
          <w:color w:val="auto"/>
          <w:sz w:val="32"/>
          <w:szCs w:val="32"/>
        </w:rPr>
      </w:pPr>
      <w:r>
        <w:rPr>
          <w:rFonts w:hint="eastAsia" w:ascii="仿宋" w:hAnsi="仿宋" w:eastAsia="仿宋"/>
          <w:color w:val="auto"/>
          <w:sz w:val="32"/>
          <w:szCs w:val="32"/>
        </w:rPr>
        <w:t>2024年确定</w:t>
      </w:r>
      <w:r>
        <w:rPr>
          <w:rFonts w:hint="eastAsia" w:ascii="仿宋" w:hAnsi="仿宋" w:eastAsia="仿宋" w:cs="Times New Roman"/>
          <w:color w:val="auto"/>
          <w:sz w:val="32"/>
          <w:szCs w:val="32"/>
        </w:rPr>
        <w:t>0</w:t>
      </w:r>
      <w:r>
        <w:rPr>
          <w:rFonts w:hint="eastAsia" w:ascii="仿宋" w:hAnsi="仿宋" w:eastAsia="仿宋"/>
          <w:color w:val="auto"/>
          <w:sz w:val="32"/>
          <w:szCs w:val="32"/>
        </w:rPr>
        <w:t>个重点项目，涉及金额</w:t>
      </w:r>
      <w:r>
        <w:rPr>
          <w:rFonts w:hint="eastAsia" w:ascii="仿宋" w:hAnsi="仿宋" w:eastAsia="仿宋" w:cs="Times New Roman"/>
          <w:color w:val="auto"/>
          <w:sz w:val="32"/>
          <w:szCs w:val="32"/>
        </w:rPr>
        <w:t>0</w:t>
      </w:r>
      <w:r>
        <w:rPr>
          <w:rFonts w:hint="eastAsia" w:ascii="仿宋" w:hAnsi="仿宋" w:eastAsia="仿宋"/>
          <w:color w:val="auto"/>
          <w:sz w:val="32"/>
          <w:szCs w:val="32"/>
        </w:rPr>
        <w:t>万元。</w:t>
      </w:r>
      <w:r>
        <w:rPr>
          <w:rFonts w:hint="eastAsia" w:ascii="仿宋" w:hAnsi="仿宋" w:eastAsia="仿宋" w:cs="Times New Roman"/>
          <w:color w:val="auto"/>
          <w:sz w:val="32"/>
          <w:szCs w:val="32"/>
        </w:rPr>
        <w:t>2024</w:t>
      </w:r>
      <w:r>
        <w:rPr>
          <w:rFonts w:ascii="仿宋" w:hAnsi="仿宋" w:eastAsia="仿宋" w:cs="Times New Roman"/>
          <w:color w:val="auto"/>
          <w:sz w:val="32"/>
          <w:szCs w:val="32"/>
        </w:rPr>
        <w:t>年部门项目支出</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万元，其中：一级项目</w:t>
      </w:r>
      <w:r>
        <w:rPr>
          <w:rFonts w:hint="eastAsia" w:ascii="仿宋" w:hAnsi="仿宋" w:eastAsia="仿宋" w:cs="Times New Roman"/>
          <w:color w:val="auto"/>
          <w:sz w:val="32"/>
          <w:szCs w:val="32"/>
        </w:rPr>
        <w:t>0</w:t>
      </w:r>
      <w:r>
        <w:rPr>
          <w:rFonts w:ascii="仿宋" w:hAnsi="仿宋" w:eastAsia="仿宋" w:cs="Times New Roman"/>
          <w:color w:val="auto"/>
          <w:sz w:val="32"/>
          <w:szCs w:val="32"/>
        </w:rPr>
        <w:t>个，二级项目</w:t>
      </w:r>
      <w:r>
        <w:rPr>
          <w:rFonts w:hint="eastAsia" w:ascii="仿宋" w:hAnsi="仿宋" w:eastAsia="仿宋" w:cs="Times New Roman"/>
          <w:color w:val="auto"/>
          <w:sz w:val="32"/>
          <w:szCs w:val="32"/>
        </w:rPr>
        <w:t>0</w:t>
      </w:r>
      <w:r>
        <w:rPr>
          <w:rFonts w:ascii="仿宋" w:hAnsi="仿宋" w:eastAsia="仿宋" w:cs="Times New Roman"/>
          <w:color w:val="auto"/>
          <w:sz w:val="32"/>
          <w:szCs w:val="32"/>
        </w:rPr>
        <w:t>个；使用</w:t>
      </w:r>
      <w:r>
        <w:rPr>
          <w:rFonts w:hint="eastAsia" w:ascii="仿宋" w:hAnsi="仿宋" w:eastAsia="仿宋" w:cs="Times New Roman"/>
          <w:color w:val="auto"/>
          <w:sz w:val="32"/>
          <w:szCs w:val="32"/>
        </w:rPr>
        <w:t>本年拨款0</w:t>
      </w:r>
      <w:r>
        <w:rPr>
          <w:rFonts w:ascii="仿宋" w:hAnsi="仿宋" w:eastAsia="仿宋" w:cs="Times New Roman"/>
          <w:color w:val="auto"/>
          <w:sz w:val="32"/>
          <w:szCs w:val="32"/>
        </w:rPr>
        <w:t>万元，</w:t>
      </w:r>
      <w:r>
        <w:rPr>
          <w:rFonts w:hint="eastAsia" w:ascii="仿宋" w:hAnsi="仿宋" w:eastAsia="仿宋" w:cs="Times New Roman"/>
          <w:color w:val="auto"/>
          <w:sz w:val="32"/>
          <w:szCs w:val="32"/>
        </w:rPr>
        <w:t>财政拨款结转0</w:t>
      </w:r>
      <w:r>
        <w:rPr>
          <w:rFonts w:ascii="仿宋" w:hAnsi="仿宋" w:eastAsia="仿宋" w:cs="Times New Roman"/>
          <w:color w:val="auto"/>
          <w:sz w:val="32"/>
          <w:szCs w:val="32"/>
        </w:rPr>
        <w:t>万元。</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按照全面实施预算绩效管理的要求，结合本部门职能和重点工作，2024年确定0个项目支出的绩效目标和指标向社会公开，涉及金额</w:t>
      </w:r>
      <w:r>
        <w:rPr>
          <w:rFonts w:hint="eastAsia" w:ascii="仿宋" w:hAnsi="仿宋" w:eastAsia="仿宋" w:cs="Times New Roman"/>
          <w:color w:val="auto"/>
          <w:sz w:val="32"/>
          <w:szCs w:val="32"/>
          <w:lang w:val="en-US" w:eastAsia="zh-CN"/>
        </w:rPr>
        <w:t>0</w:t>
      </w:r>
      <w:r>
        <w:rPr>
          <w:rFonts w:hint="eastAsia" w:ascii="仿宋" w:hAnsi="仿宋" w:eastAsia="仿宋" w:cs="Times New Roman"/>
          <w:color w:val="auto"/>
          <w:sz w:val="32"/>
          <w:szCs w:val="32"/>
        </w:rPr>
        <w:t>万元。</w:t>
      </w:r>
    </w:p>
    <w:p>
      <w:pPr>
        <w:ind w:firstLine="643" w:firstLineChars="200"/>
        <w:rPr>
          <w:rFonts w:ascii="仿宋" w:hAnsi="仿宋" w:eastAsia="仿宋"/>
          <w:b/>
          <w:color w:val="auto"/>
          <w:sz w:val="32"/>
          <w:szCs w:val="32"/>
        </w:rPr>
      </w:pPr>
      <w:r>
        <w:rPr>
          <w:rFonts w:hint="eastAsia" w:ascii="仿宋" w:hAnsi="仿宋" w:eastAsia="仿宋"/>
          <w:b/>
          <w:color w:val="auto"/>
          <w:sz w:val="32"/>
          <w:szCs w:val="32"/>
        </w:rPr>
        <w:t>五、2024年政府性基金预算支出情况</w:t>
      </w:r>
    </w:p>
    <w:p>
      <w:pPr>
        <w:ind w:firstLine="640" w:firstLineChars="200"/>
        <w:rPr>
          <w:rFonts w:ascii="仿宋" w:hAnsi="仿宋" w:eastAsia="仿宋"/>
          <w:color w:val="auto"/>
          <w:sz w:val="32"/>
          <w:szCs w:val="32"/>
        </w:rPr>
      </w:pPr>
      <w:r>
        <w:rPr>
          <w:rFonts w:hint="eastAsia" w:ascii="仿宋" w:hAnsi="仿宋" w:eastAsia="仿宋"/>
          <w:color w:val="auto"/>
          <w:sz w:val="32"/>
          <w:szCs w:val="32"/>
        </w:rPr>
        <w:t>本</w:t>
      </w:r>
      <w:r>
        <w:rPr>
          <w:rFonts w:hint="eastAsia" w:ascii="仿宋" w:hAnsi="仿宋" w:eastAsia="仿宋"/>
          <w:b w:val="0"/>
          <w:bCs/>
          <w:color w:val="auto"/>
          <w:sz w:val="32"/>
          <w:szCs w:val="32"/>
        </w:rPr>
        <w:t>部门</w:t>
      </w:r>
      <w:r>
        <w:rPr>
          <w:rFonts w:hint="eastAsia" w:ascii="仿宋" w:hAnsi="仿宋" w:eastAsia="仿宋"/>
          <w:color w:val="auto"/>
          <w:sz w:val="32"/>
          <w:szCs w:val="32"/>
        </w:rPr>
        <w:t>无政府性基金预算拨款。</w:t>
      </w:r>
    </w:p>
    <w:p>
      <w:pPr>
        <w:ind w:firstLine="643" w:firstLineChars="200"/>
        <w:rPr>
          <w:rFonts w:ascii="仿宋" w:hAnsi="仿宋" w:eastAsia="仿宋"/>
          <w:b/>
          <w:color w:val="auto"/>
          <w:sz w:val="32"/>
          <w:szCs w:val="32"/>
        </w:rPr>
      </w:pPr>
      <w:r>
        <w:rPr>
          <w:rFonts w:hint="eastAsia" w:ascii="仿宋" w:hAnsi="仿宋" w:eastAsia="仿宋"/>
          <w:b/>
          <w:color w:val="auto"/>
          <w:sz w:val="32"/>
          <w:szCs w:val="32"/>
        </w:rPr>
        <w:t>六、2024年</w:t>
      </w:r>
      <w:r>
        <w:rPr>
          <w:rFonts w:hint="eastAsia" w:ascii="仿宋" w:hAnsi="仿宋" w:eastAsia="仿宋" w:cs="Times New Roman"/>
          <w:b/>
          <w:color w:val="auto"/>
          <w:sz w:val="32"/>
          <w:szCs w:val="32"/>
        </w:rPr>
        <w:t>国有资本经营</w:t>
      </w:r>
      <w:r>
        <w:rPr>
          <w:rFonts w:ascii="仿宋" w:hAnsi="仿宋" w:eastAsia="仿宋" w:cs="Times New Roman"/>
          <w:b/>
          <w:color w:val="auto"/>
          <w:sz w:val="32"/>
          <w:szCs w:val="32"/>
        </w:rPr>
        <w:t>预算</w:t>
      </w:r>
      <w:r>
        <w:rPr>
          <w:rFonts w:hint="eastAsia" w:ascii="仿宋" w:hAnsi="仿宋" w:eastAsia="仿宋"/>
          <w:b/>
          <w:color w:val="auto"/>
          <w:sz w:val="32"/>
          <w:szCs w:val="32"/>
        </w:rPr>
        <w:t>支出情况</w:t>
      </w:r>
    </w:p>
    <w:p>
      <w:pPr>
        <w:ind w:firstLine="640" w:firstLineChars="200"/>
        <w:rPr>
          <w:rFonts w:ascii="仿宋" w:hAnsi="仿宋" w:eastAsia="仿宋"/>
          <w:color w:val="auto"/>
          <w:sz w:val="32"/>
          <w:szCs w:val="32"/>
        </w:rPr>
      </w:pPr>
      <w:r>
        <w:rPr>
          <w:rFonts w:ascii="仿宋" w:hAnsi="仿宋" w:eastAsia="仿宋" w:cs="Times New Roman"/>
          <w:color w:val="auto"/>
          <w:sz w:val="32"/>
          <w:szCs w:val="32"/>
        </w:rPr>
        <w:t>本</w:t>
      </w:r>
      <w:r>
        <w:rPr>
          <w:rFonts w:hint="eastAsia" w:ascii="仿宋" w:hAnsi="仿宋" w:eastAsia="仿宋"/>
          <w:b w:val="0"/>
          <w:bCs/>
          <w:color w:val="auto"/>
          <w:sz w:val="32"/>
          <w:szCs w:val="32"/>
        </w:rPr>
        <w:t>部门</w:t>
      </w:r>
      <w:r>
        <w:rPr>
          <w:rFonts w:ascii="仿宋" w:hAnsi="仿宋" w:eastAsia="仿宋" w:cs="Times New Roman"/>
          <w:color w:val="auto"/>
          <w:sz w:val="32"/>
          <w:szCs w:val="32"/>
        </w:rPr>
        <w:t>无</w:t>
      </w:r>
      <w:r>
        <w:rPr>
          <w:rFonts w:hint="eastAsia" w:ascii="仿宋" w:hAnsi="仿宋" w:eastAsia="仿宋" w:cs="Times New Roman"/>
          <w:color w:val="auto"/>
          <w:sz w:val="32"/>
          <w:szCs w:val="32"/>
        </w:rPr>
        <w:t>国有资本经营</w:t>
      </w:r>
      <w:r>
        <w:rPr>
          <w:rFonts w:ascii="仿宋" w:hAnsi="仿宋" w:eastAsia="仿宋" w:cs="Times New Roman"/>
          <w:color w:val="auto"/>
          <w:sz w:val="32"/>
          <w:szCs w:val="32"/>
        </w:rPr>
        <w:t>预算拨款</w:t>
      </w:r>
      <w:r>
        <w:rPr>
          <w:rFonts w:hint="eastAsia" w:ascii="仿宋" w:hAnsi="仿宋" w:eastAsia="仿宋"/>
          <w:color w:val="auto"/>
          <w:sz w:val="32"/>
          <w:szCs w:val="32"/>
        </w:rPr>
        <w:t>。</w:t>
      </w:r>
    </w:p>
    <w:p>
      <w:pPr>
        <w:ind w:firstLine="643" w:firstLineChars="200"/>
        <w:rPr>
          <w:rFonts w:ascii="仿宋" w:hAnsi="仿宋" w:eastAsia="仿宋"/>
          <w:b/>
          <w:color w:val="auto"/>
          <w:sz w:val="32"/>
          <w:szCs w:val="32"/>
        </w:rPr>
      </w:pPr>
      <w:r>
        <w:rPr>
          <w:rFonts w:hint="eastAsia" w:ascii="仿宋" w:hAnsi="仿宋" w:eastAsia="仿宋"/>
          <w:b/>
          <w:color w:val="auto"/>
          <w:sz w:val="32"/>
          <w:szCs w:val="32"/>
        </w:rPr>
        <w:t>七、2024年一般公共预算“三公”经费拨款情况</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2024</w:t>
      </w:r>
      <w:r>
        <w:rPr>
          <w:rFonts w:ascii="仿宋" w:hAnsi="仿宋" w:eastAsia="仿宋" w:cs="Times New Roman"/>
          <w:color w:val="auto"/>
          <w:sz w:val="32"/>
          <w:szCs w:val="32"/>
        </w:rPr>
        <w:t>年“三公”经费预算数为</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w:t>
      </w:r>
      <w:r>
        <w:rPr>
          <w:rFonts w:hint="eastAsia" w:ascii="仿宋" w:hAnsi="仿宋" w:eastAsia="仿宋" w:cs="Times New Roman"/>
          <w:color w:val="auto"/>
          <w:sz w:val="32"/>
          <w:szCs w:val="32"/>
        </w:rPr>
        <w:t>其中:当年预算0万元；上年结转0万元。2024年当年预算数</w:t>
      </w:r>
      <w:r>
        <w:rPr>
          <w:rFonts w:ascii="仿宋" w:hAnsi="仿宋" w:eastAsia="仿宋" w:cs="Times New Roman"/>
          <w:color w:val="auto"/>
          <w:sz w:val="32"/>
          <w:szCs w:val="32"/>
        </w:rPr>
        <w:t>比</w:t>
      </w:r>
      <w:r>
        <w:rPr>
          <w:rFonts w:hint="eastAsia" w:ascii="仿宋" w:hAnsi="仿宋" w:eastAsia="仿宋" w:cs="Times New Roman"/>
          <w:color w:val="auto"/>
          <w:sz w:val="32"/>
          <w:szCs w:val="32"/>
        </w:rPr>
        <w:t>2023</w:t>
      </w:r>
      <w:r>
        <w:rPr>
          <w:rFonts w:ascii="仿宋" w:hAnsi="仿宋" w:eastAsia="仿宋" w:cs="Times New Roman"/>
          <w:color w:val="auto"/>
          <w:sz w:val="32"/>
          <w:szCs w:val="32"/>
        </w:rPr>
        <w:t>年预算数增加</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万元。其中：</w:t>
      </w:r>
    </w:p>
    <w:p>
      <w:pPr>
        <w:ind w:firstLine="640" w:firstLineChars="200"/>
        <w:rPr>
          <w:rFonts w:ascii="仿宋" w:hAnsi="仿宋" w:eastAsia="仿宋" w:cs="Times New Roman"/>
          <w:color w:val="auto"/>
          <w:sz w:val="32"/>
          <w:szCs w:val="32"/>
        </w:rPr>
      </w:pPr>
      <w:r>
        <w:rPr>
          <w:rFonts w:ascii="仿宋" w:hAnsi="仿宋" w:eastAsia="仿宋" w:cs="Times New Roman"/>
          <w:color w:val="auto"/>
          <w:sz w:val="32"/>
          <w:szCs w:val="32"/>
        </w:rPr>
        <w:t>1.因公出国（境）费</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w:t>
      </w:r>
      <w:r>
        <w:rPr>
          <w:rFonts w:hint="eastAsia" w:ascii="仿宋" w:hAnsi="仿宋" w:eastAsia="仿宋" w:cs="Times New Roman"/>
          <w:color w:val="auto"/>
          <w:sz w:val="32"/>
          <w:szCs w:val="32"/>
        </w:rPr>
        <w:t>其中：当年预算0万元；上年结转0万元。2024年当年预算数</w:t>
      </w:r>
      <w:r>
        <w:rPr>
          <w:rFonts w:ascii="仿宋" w:hAnsi="仿宋" w:eastAsia="仿宋" w:cs="Times New Roman"/>
          <w:color w:val="auto"/>
          <w:sz w:val="32"/>
          <w:szCs w:val="32"/>
        </w:rPr>
        <w:t>比</w:t>
      </w:r>
      <w:r>
        <w:rPr>
          <w:rFonts w:hint="eastAsia" w:ascii="仿宋" w:hAnsi="仿宋" w:eastAsia="仿宋" w:cs="Times New Roman"/>
          <w:color w:val="auto"/>
          <w:sz w:val="32"/>
          <w:szCs w:val="32"/>
        </w:rPr>
        <w:t>2023</w:t>
      </w:r>
      <w:r>
        <w:rPr>
          <w:rFonts w:ascii="仿宋" w:hAnsi="仿宋" w:eastAsia="仿宋" w:cs="Times New Roman"/>
          <w:color w:val="auto"/>
          <w:sz w:val="32"/>
          <w:szCs w:val="32"/>
        </w:rPr>
        <w:t>年预算数增加</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万元，主要原因是</w:t>
      </w:r>
      <w:r>
        <w:rPr>
          <w:rFonts w:hint="eastAsia" w:ascii="仿宋" w:hAnsi="仿宋" w:eastAsia="仿宋" w:cs="Times New Roman"/>
          <w:color w:val="auto"/>
          <w:sz w:val="32"/>
          <w:szCs w:val="32"/>
        </w:rPr>
        <w:t>与上年预算数持平。</w:t>
      </w:r>
    </w:p>
    <w:p>
      <w:pPr>
        <w:ind w:firstLine="640" w:firstLineChars="200"/>
        <w:rPr>
          <w:rFonts w:ascii="仿宋" w:hAnsi="仿宋" w:eastAsia="仿宋" w:cs="Times New Roman"/>
          <w:color w:val="auto"/>
          <w:sz w:val="32"/>
          <w:szCs w:val="32"/>
        </w:rPr>
      </w:pPr>
      <w:r>
        <w:rPr>
          <w:rFonts w:ascii="仿宋" w:hAnsi="仿宋" w:eastAsia="仿宋" w:cs="Times New Roman"/>
          <w:color w:val="auto"/>
          <w:sz w:val="32"/>
          <w:szCs w:val="32"/>
        </w:rPr>
        <w:t>2.公务接待费</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w:t>
      </w:r>
      <w:r>
        <w:rPr>
          <w:rFonts w:hint="eastAsia" w:ascii="仿宋" w:hAnsi="仿宋" w:eastAsia="仿宋" w:cs="Times New Roman"/>
          <w:color w:val="auto"/>
          <w:sz w:val="32"/>
          <w:szCs w:val="32"/>
        </w:rPr>
        <w:t>其中：当年预算0万元；上年结转0万元。2024年当年预算数</w:t>
      </w:r>
      <w:r>
        <w:rPr>
          <w:rFonts w:ascii="仿宋" w:hAnsi="仿宋" w:eastAsia="仿宋" w:cs="Times New Roman"/>
          <w:color w:val="auto"/>
          <w:sz w:val="32"/>
          <w:szCs w:val="32"/>
        </w:rPr>
        <w:t>比</w:t>
      </w:r>
      <w:r>
        <w:rPr>
          <w:rFonts w:hint="eastAsia" w:ascii="仿宋" w:hAnsi="仿宋" w:eastAsia="仿宋" w:cs="Times New Roman"/>
          <w:color w:val="auto"/>
          <w:sz w:val="32"/>
          <w:szCs w:val="32"/>
        </w:rPr>
        <w:t>2023</w:t>
      </w:r>
      <w:r>
        <w:rPr>
          <w:rFonts w:ascii="仿宋" w:hAnsi="仿宋" w:eastAsia="仿宋" w:cs="Times New Roman"/>
          <w:color w:val="auto"/>
          <w:sz w:val="32"/>
          <w:szCs w:val="32"/>
        </w:rPr>
        <w:t>年预算数增加</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万元，主要原因是</w:t>
      </w:r>
      <w:r>
        <w:rPr>
          <w:rFonts w:hint="eastAsia" w:ascii="仿宋" w:hAnsi="仿宋" w:eastAsia="仿宋" w:cs="Times New Roman"/>
          <w:color w:val="auto"/>
          <w:sz w:val="32"/>
          <w:szCs w:val="32"/>
        </w:rPr>
        <w:t>与上年预算数持平。</w:t>
      </w:r>
    </w:p>
    <w:p>
      <w:pPr>
        <w:ind w:firstLine="640" w:firstLineChars="200"/>
        <w:rPr>
          <w:rFonts w:ascii="仿宋" w:hAnsi="仿宋" w:eastAsia="仿宋" w:cs="Times New Roman"/>
          <w:color w:val="auto"/>
          <w:sz w:val="32"/>
          <w:szCs w:val="32"/>
        </w:rPr>
      </w:pPr>
      <w:r>
        <w:rPr>
          <w:rFonts w:ascii="仿宋" w:hAnsi="仿宋" w:eastAsia="仿宋" w:cs="Times New Roman"/>
          <w:color w:val="auto"/>
          <w:sz w:val="32"/>
          <w:szCs w:val="32"/>
        </w:rPr>
        <w:t>3.公务用车购置及运行费</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w:t>
      </w:r>
      <w:r>
        <w:rPr>
          <w:rFonts w:hint="eastAsia" w:ascii="仿宋" w:hAnsi="仿宋" w:eastAsia="仿宋" w:cs="Times New Roman"/>
          <w:color w:val="auto"/>
          <w:sz w:val="32"/>
          <w:szCs w:val="32"/>
        </w:rPr>
        <w:t>其中：当年预算0万元；上年结转0万元。2024年当年预算数</w:t>
      </w:r>
      <w:r>
        <w:rPr>
          <w:rFonts w:ascii="仿宋" w:hAnsi="仿宋" w:eastAsia="仿宋" w:cs="Times New Roman"/>
          <w:color w:val="auto"/>
          <w:sz w:val="32"/>
          <w:szCs w:val="32"/>
        </w:rPr>
        <w:t>比</w:t>
      </w:r>
      <w:r>
        <w:rPr>
          <w:rFonts w:hint="eastAsia" w:ascii="仿宋" w:hAnsi="仿宋" w:eastAsia="仿宋" w:cs="Times New Roman"/>
          <w:color w:val="auto"/>
          <w:sz w:val="32"/>
          <w:szCs w:val="32"/>
        </w:rPr>
        <w:t>2023</w:t>
      </w:r>
      <w:r>
        <w:rPr>
          <w:rFonts w:ascii="仿宋" w:hAnsi="仿宋" w:eastAsia="仿宋" w:cs="Times New Roman"/>
          <w:color w:val="auto"/>
          <w:sz w:val="32"/>
          <w:szCs w:val="32"/>
        </w:rPr>
        <w:t>年预算数增加</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万元。公务用车运行维护费</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w:t>
      </w:r>
      <w:r>
        <w:rPr>
          <w:rFonts w:hint="eastAsia" w:ascii="仿宋" w:hAnsi="仿宋" w:eastAsia="仿宋" w:cs="Times New Roman"/>
          <w:color w:val="auto"/>
          <w:sz w:val="32"/>
          <w:szCs w:val="32"/>
        </w:rPr>
        <w:t>其中：当年预算0万元；上年结转0万元。2024年当年预算数</w:t>
      </w:r>
      <w:r>
        <w:rPr>
          <w:rFonts w:ascii="仿宋" w:hAnsi="仿宋" w:eastAsia="仿宋" w:cs="Times New Roman"/>
          <w:color w:val="auto"/>
          <w:sz w:val="32"/>
          <w:szCs w:val="32"/>
        </w:rPr>
        <w:t>比</w:t>
      </w:r>
      <w:r>
        <w:rPr>
          <w:rFonts w:hint="eastAsia" w:ascii="仿宋" w:hAnsi="仿宋" w:eastAsia="仿宋" w:cs="Times New Roman"/>
          <w:color w:val="auto"/>
          <w:sz w:val="32"/>
          <w:szCs w:val="32"/>
        </w:rPr>
        <w:t>2023</w:t>
      </w:r>
      <w:r>
        <w:rPr>
          <w:rFonts w:ascii="仿宋" w:hAnsi="仿宋" w:eastAsia="仿宋" w:cs="Times New Roman"/>
          <w:color w:val="auto"/>
          <w:sz w:val="32"/>
          <w:szCs w:val="32"/>
        </w:rPr>
        <w:t>年预算数增加</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万元，主要原因是</w:t>
      </w:r>
      <w:r>
        <w:rPr>
          <w:rFonts w:hint="eastAsia" w:ascii="仿宋" w:hAnsi="仿宋" w:eastAsia="仿宋" w:cs="Times New Roman"/>
          <w:color w:val="auto"/>
          <w:sz w:val="32"/>
          <w:szCs w:val="32"/>
        </w:rPr>
        <w:t>与上年预算数持平</w:t>
      </w:r>
      <w:r>
        <w:rPr>
          <w:rFonts w:ascii="仿宋" w:hAnsi="仿宋" w:eastAsia="仿宋" w:cs="Times New Roman"/>
          <w:color w:val="auto"/>
          <w:sz w:val="32"/>
          <w:szCs w:val="32"/>
        </w:rPr>
        <w:t>；公务用车购置费</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w:t>
      </w:r>
      <w:r>
        <w:rPr>
          <w:rFonts w:hint="eastAsia" w:ascii="仿宋" w:hAnsi="仿宋" w:eastAsia="仿宋" w:cs="Times New Roman"/>
          <w:color w:val="auto"/>
          <w:sz w:val="32"/>
          <w:szCs w:val="32"/>
        </w:rPr>
        <w:t>其中：当年预算0万元；上年结转0万元。2024年当年预算数</w:t>
      </w:r>
      <w:r>
        <w:rPr>
          <w:rFonts w:ascii="仿宋" w:hAnsi="仿宋" w:eastAsia="仿宋" w:cs="Times New Roman"/>
          <w:color w:val="auto"/>
          <w:sz w:val="32"/>
          <w:szCs w:val="32"/>
        </w:rPr>
        <w:t>比</w:t>
      </w:r>
      <w:r>
        <w:rPr>
          <w:rFonts w:hint="eastAsia" w:ascii="仿宋" w:hAnsi="仿宋" w:eastAsia="仿宋" w:cs="Times New Roman"/>
          <w:color w:val="auto"/>
          <w:sz w:val="32"/>
          <w:szCs w:val="32"/>
        </w:rPr>
        <w:t>2023</w:t>
      </w:r>
      <w:r>
        <w:rPr>
          <w:rFonts w:ascii="仿宋" w:hAnsi="仿宋" w:eastAsia="仿宋" w:cs="Times New Roman"/>
          <w:color w:val="auto"/>
          <w:sz w:val="32"/>
          <w:szCs w:val="32"/>
        </w:rPr>
        <w:t>年预算数增加</w:t>
      </w:r>
      <w:r>
        <w:rPr>
          <w:rFonts w:hint="eastAsia" w:ascii="仿宋" w:hAnsi="仿宋" w:eastAsia="仿宋" w:cs="Times New Roman"/>
          <w:color w:val="auto"/>
          <w:sz w:val="32"/>
          <w:szCs w:val="32"/>
        </w:rPr>
        <w:t>0</w:t>
      </w:r>
      <w:r>
        <w:rPr>
          <w:rFonts w:ascii="仿宋" w:hAnsi="仿宋" w:eastAsia="仿宋" w:cs="Times New Roman"/>
          <w:color w:val="auto"/>
          <w:sz w:val="32"/>
          <w:szCs w:val="32"/>
        </w:rPr>
        <w:t>万元，主要原因是</w:t>
      </w:r>
      <w:r>
        <w:rPr>
          <w:rFonts w:hint="eastAsia" w:ascii="仿宋" w:hAnsi="仿宋" w:eastAsia="仿宋" w:cs="Times New Roman"/>
          <w:color w:val="auto"/>
          <w:sz w:val="32"/>
          <w:szCs w:val="32"/>
        </w:rPr>
        <w:t>与上年预算数持平。</w:t>
      </w:r>
    </w:p>
    <w:p>
      <w:pPr>
        <w:ind w:firstLine="643" w:firstLineChars="200"/>
        <w:rPr>
          <w:rFonts w:ascii="仿宋" w:hAnsi="仿宋" w:eastAsia="仿宋"/>
          <w:b/>
          <w:color w:val="auto"/>
          <w:sz w:val="32"/>
          <w:szCs w:val="32"/>
        </w:rPr>
      </w:pPr>
      <w:r>
        <w:rPr>
          <w:rFonts w:hint="eastAsia" w:ascii="仿宋" w:hAnsi="仿宋" w:eastAsia="仿宋"/>
          <w:b/>
          <w:color w:val="auto"/>
          <w:sz w:val="32"/>
          <w:szCs w:val="32"/>
        </w:rPr>
        <w:t>八、政府采购情况说明</w:t>
      </w:r>
    </w:p>
    <w:p>
      <w:pPr>
        <w:ind w:firstLine="640" w:firstLineChars="200"/>
        <w:rPr>
          <w:rFonts w:ascii="仿宋" w:hAnsi="仿宋" w:eastAsia="仿宋"/>
          <w:color w:val="auto"/>
          <w:sz w:val="32"/>
          <w:szCs w:val="32"/>
        </w:rPr>
      </w:pPr>
      <w:r>
        <w:rPr>
          <w:rFonts w:hint="eastAsia" w:ascii="仿宋" w:hAnsi="仿宋" w:eastAsia="仿宋"/>
          <w:color w:val="auto"/>
          <w:sz w:val="32"/>
          <w:szCs w:val="32"/>
        </w:rPr>
        <w:t>本部门无政府采购计划安排。</w:t>
      </w:r>
    </w:p>
    <w:p>
      <w:pPr>
        <w:ind w:firstLine="643" w:firstLineChars="200"/>
        <w:rPr>
          <w:rFonts w:ascii="仿宋" w:hAnsi="仿宋" w:eastAsia="仿宋"/>
          <w:b/>
          <w:color w:val="auto"/>
          <w:sz w:val="32"/>
          <w:szCs w:val="32"/>
        </w:rPr>
      </w:pPr>
      <w:r>
        <w:rPr>
          <w:rFonts w:hint="eastAsia" w:ascii="仿宋" w:hAnsi="仿宋" w:eastAsia="仿宋"/>
          <w:b/>
          <w:color w:val="auto"/>
          <w:sz w:val="32"/>
          <w:szCs w:val="32"/>
        </w:rPr>
        <w:t>九、国有资产占有使用情况说明</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截至2023年</w:t>
      </w:r>
      <w:r>
        <w:rPr>
          <w:rFonts w:hint="eastAsia" w:ascii="仿宋" w:hAnsi="仿宋" w:eastAsia="仿宋"/>
          <w:color w:val="auto"/>
          <w:sz w:val="32"/>
          <w:szCs w:val="32"/>
        </w:rPr>
        <w:t>12</w:t>
      </w:r>
      <w:r>
        <w:rPr>
          <w:rFonts w:hint="eastAsia" w:ascii="仿宋" w:hAnsi="仿宋" w:eastAsia="仿宋" w:cs="Times New Roman"/>
          <w:color w:val="auto"/>
          <w:sz w:val="32"/>
          <w:szCs w:val="32"/>
        </w:rPr>
        <w:t>月底，</w:t>
      </w:r>
      <w:r>
        <w:rPr>
          <w:rFonts w:hint="eastAsia" w:ascii="仿宋" w:hAnsi="仿宋" w:eastAsia="仿宋" w:cs="Times New Roman"/>
          <w:b w:val="0"/>
          <w:bCs w:val="0"/>
          <w:color w:val="auto"/>
          <w:sz w:val="32"/>
          <w:szCs w:val="32"/>
        </w:rPr>
        <w:t>我部门</w:t>
      </w:r>
      <w:r>
        <w:rPr>
          <w:rFonts w:hint="eastAsia" w:ascii="仿宋" w:hAnsi="仿宋" w:eastAsia="仿宋" w:cs="Times New Roman"/>
          <w:color w:val="auto"/>
          <w:sz w:val="32"/>
          <w:szCs w:val="32"/>
        </w:rPr>
        <w:t>共有车辆0辆，土地0平方米，房屋0平方米，单价50万元及以上的通用设备0台/套，单价100万元及以上的专用设备实有数0台/套。</w:t>
      </w:r>
    </w:p>
    <w:p>
      <w:pPr>
        <w:ind w:firstLine="640" w:firstLineChars="200"/>
        <w:rPr>
          <w:rFonts w:ascii="仿宋" w:hAnsi="仿宋" w:eastAsia="仿宋" w:cs="Times New Roman"/>
          <w:color w:val="auto"/>
          <w:sz w:val="32"/>
          <w:szCs w:val="32"/>
        </w:rPr>
      </w:pPr>
      <w:r>
        <w:rPr>
          <w:rFonts w:hint="eastAsia" w:ascii="仿宋" w:hAnsi="仿宋" w:eastAsia="仿宋" w:cs="Times New Roman"/>
          <w:color w:val="auto"/>
          <w:sz w:val="32"/>
          <w:szCs w:val="32"/>
        </w:rPr>
        <w:t>2024年部门预算安排购置车辆0辆，安排购置土地0平方米，安排购置房屋0平方米，计划新增单价50万元及以上的通用设备0台/套，计划新增单价100万元及以上的专用设备实有数0台/套。</w:t>
      </w:r>
    </w:p>
    <w:p>
      <w:pPr>
        <w:ind w:firstLine="640" w:firstLineChars="200"/>
        <w:rPr>
          <w:rFonts w:ascii="仿宋" w:hAnsi="仿宋" w:eastAsia="仿宋" w:cs="Times New Roman"/>
          <w:b w:val="0"/>
          <w:bCs/>
          <w:color w:val="auto"/>
          <w:sz w:val="32"/>
          <w:szCs w:val="32"/>
        </w:rPr>
      </w:pPr>
      <w:r>
        <w:rPr>
          <w:rFonts w:hint="eastAsia" w:ascii="仿宋" w:hAnsi="仿宋" w:eastAsia="仿宋"/>
          <w:b w:val="0"/>
          <w:bCs/>
          <w:color w:val="auto"/>
          <w:sz w:val="32"/>
          <w:szCs w:val="32"/>
        </w:rPr>
        <w:t>说明单位用房、土地、车辆（分公务用车、执法执勤用车、特种专业技术用车、其他车辆等）、通用设备、专用设备占有使用情况。</w:t>
      </w:r>
    </w:p>
    <w:p>
      <w:pPr>
        <w:ind w:firstLine="643" w:firstLineChars="200"/>
        <w:rPr>
          <w:rFonts w:ascii="仿宋" w:hAnsi="仿宋" w:eastAsia="仿宋"/>
          <w:b/>
          <w:color w:val="auto"/>
          <w:sz w:val="32"/>
          <w:szCs w:val="32"/>
        </w:rPr>
      </w:pPr>
      <w:r>
        <w:rPr>
          <w:rFonts w:hint="eastAsia" w:ascii="仿宋" w:hAnsi="仿宋" w:eastAsia="仿宋"/>
          <w:b/>
          <w:color w:val="auto"/>
          <w:sz w:val="32"/>
          <w:szCs w:val="32"/>
        </w:rPr>
        <w:t>十、名词解释</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（一）一般公共预算拨款收入：指省级财政通过当年一般公共预算拨付的资金。</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（二）</w:t>
      </w:r>
      <w:r>
        <w:rPr>
          <w:rFonts w:hint="eastAsia" w:ascii="仿宋" w:hAnsi="仿宋" w:eastAsia="仿宋" w:cs="Times New Roman"/>
          <w:color w:val="auto"/>
          <w:sz w:val="32"/>
          <w:szCs w:val="32"/>
        </w:rPr>
        <w:t>政府性基金预算拨款收入：</w:t>
      </w:r>
      <w:r>
        <w:rPr>
          <w:rFonts w:ascii="仿宋" w:hAnsi="仿宋" w:eastAsia="仿宋" w:cs="Times New Roman"/>
          <w:color w:val="auto"/>
          <w:sz w:val="32"/>
          <w:szCs w:val="32"/>
        </w:rPr>
        <w:t>指省级财政通过当年</w:t>
      </w:r>
      <w:r>
        <w:rPr>
          <w:rFonts w:hint="eastAsia" w:ascii="仿宋" w:hAnsi="仿宋" w:eastAsia="仿宋" w:cs="Times New Roman"/>
          <w:color w:val="auto"/>
          <w:sz w:val="32"/>
          <w:szCs w:val="32"/>
        </w:rPr>
        <w:t>政府性基金</w:t>
      </w:r>
      <w:r>
        <w:rPr>
          <w:rFonts w:ascii="仿宋" w:hAnsi="仿宋" w:eastAsia="仿宋" w:cs="Times New Roman"/>
          <w:color w:val="auto"/>
          <w:sz w:val="32"/>
          <w:szCs w:val="32"/>
        </w:rPr>
        <w:t>预算拨付的资金。</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w:t>
      </w:r>
      <w:r>
        <w:rPr>
          <w:rFonts w:hint="eastAsia" w:ascii="仿宋" w:hAnsi="仿宋" w:eastAsia="仿宋" w:cs="Times New Roman"/>
          <w:color w:val="auto"/>
          <w:sz w:val="32"/>
          <w:szCs w:val="32"/>
        </w:rPr>
        <w:t>三</w:t>
      </w:r>
      <w:r>
        <w:rPr>
          <w:rFonts w:ascii="仿宋" w:hAnsi="仿宋" w:eastAsia="仿宋" w:cs="Times New Roman"/>
          <w:color w:val="auto"/>
          <w:sz w:val="32"/>
          <w:szCs w:val="32"/>
        </w:rPr>
        <w:t>）</w:t>
      </w:r>
      <w:r>
        <w:rPr>
          <w:rFonts w:hint="eastAsia" w:ascii="仿宋" w:hAnsi="仿宋" w:eastAsia="仿宋" w:cs="Times New Roman"/>
          <w:color w:val="auto"/>
          <w:sz w:val="32"/>
          <w:szCs w:val="32"/>
        </w:rPr>
        <w:t>国有资本经营预算拨款收入：</w:t>
      </w:r>
      <w:r>
        <w:rPr>
          <w:rFonts w:ascii="仿宋" w:hAnsi="仿宋" w:eastAsia="仿宋" w:cs="Times New Roman"/>
          <w:color w:val="auto"/>
          <w:sz w:val="32"/>
          <w:szCs w:val="32"/>
        </w:rPr>
        <w:t>指省级财政通过当年</w:t>
      </w:r>
      <w:r>
        <w:rPr>
          <w:rFonts w:hint="eastAsia" w:ascii="仿宋" w:hAnsi="仿宋" w:eastAsia="仿宋" w:cs="Times New Roman"/>
          <w:color w:val="auto"/>
          <w:sz w:val="32"/>
          <w:szCs w:val="32"/>
        </w:rPr>
        <w:t>国有资本经营</w:t>
      </w:r>
      <w:r>
        <w:rPr>
          <w:rFonts w:ascii="仿宋" w:hAnsi="仿宋" w:eastAsia="仿宋" w:cs="Times New Roman"/>
          <w:color w:val="auto"/>
          <w:sz w:val="32"/>
          <w:szCs w:val="32"/>
        </w:rPr>
        <w:t>预算拨付的资金。</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w:t>
      </w:r>
      <w:r>
        <w:rPr>
          <w:rFonts w:hint="eastAsia" w:ascii="仿宋" w:hAnsi="仿宋" w:eastAsia="仿宋" w:cs="Times New Roman"/>
          <w:color w:val="auto"/>
          <w:sz w:val="32"/>
          <w:szCs w:val="32"/>
        </w:rPr>
        <w:t>四</w:t>
      </w:r>
      <w:r>
        <w:rPr>
          <w:rFonts w:ascii="仿宋" w:hAnsi="仿宋" w:eastAsia="仿宋" w:cs="Times New Roman"/>
          <w:color w:val="auto"/>
          <w:sz w:val="32"/>
          <w:szCs w:val="32"/>
        </w:rPr>
        <w:t>）</w:t>
      </w:r>
      <w:r>
        <w:rPr>
          <w:rFonts w:hint="eastAsia" w:ascii="仿宋" w:hAnsi="仿宋" w:eastAsia="仿宋" w:cs="Times New Roman"/>
          <w:color w:val="auto"/>
          <w:sz w:val="32"/>
          <w:szCs w:val="32"/>
        </w:rPr>
        <w:t>财政专户管理资金收入</w:t>
      </w:r>
      <w:r>
        <w:rPr>
          <w:rFonts w:ascii="仿宋" w:hAnsi="仿宋" w:eastAsia="仿宋" w:cs="Times New Roman"/>
          <w:color w:val="auto"/>
          <w:sz w:val="32"/>
          <w:szCs w:val="32"/>
        </w:rPr>
        <w:t>：</w:t>
      </w:r>
      <w:r>
        <w:rPr>
          <w:rFonts w:hint="eastAsia" w:ascii="仿宋" w:hAnsi="仿宋" w:eastAsia="仿宋" w:cs="Times New Roman"/>
          <w:color w:val="auto"/>
          <w:sz w:val="32"/>
          <w:szCs w:val="32"/>
        </w:rPr>
        <w:t>指未纳入预算并实行财政专户管理的资金收入。</w:t>
      </w:r>
    </w:p>
    <w:p>
      <w:pPr>
        <w:ind w:firstLine="640" w:firstLineChars="200"/>
        <w:rPr>
          <w:rFonts w:ascii="仿宋" w:hAnsi="仿宋" w:eastAsia="仿宋"/>
          <w:b/>
          <w:color w:val="auto"/>
          <w:sz w:val="32"/>
          <w:szCs w:val="32"/>
        </w:rPr>
      </w:pPr>
      <w:r>
        <w:rPr>
          <w:rFonts w:hint="eastAsia" w:ascii="仿宋" w:hAnsi="仿宋" w:eastAsia="仿宋" w:cs="Times New Roman"/>
          <w:color w:val="auto"/>
          <w:sz w:val="32"/>
          <w:szCs w:val="32"/>
        </w:rPr>
        <w:t>（五）</w:t>
      </w:r>
      <w:r>
        <w:rPr>
          <w:rFonts w:ascii="仿宋" w:hAnsi="仿宋" w:eastAsia="仿宋" w:cs="Times New Roman"/>
          <w:color w:val="auto"/>
          <w:sz w:val="32"/>
          <w:szCs w:val="32"/>
        </w:rPr>
        <w:t>事业收入：指事业单位开展专业业务活动及辅助活动所取得的收入。</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w:t>
      </w:r>
      <w:r>
        <w:rPr>
          <w:rFonts w:hint="eastAsia" w:ascii="仿宋" w:hAnsi="仿宋" w:eastAsia="仿宋" w:cs="Times New Roman"/>
          <w:color w:val="auto"/>
          <w:sz w:val="32"/>
          <w:szCs w:val="32"/>
        </w:rPr>
        <w:t>六</w:t>
      </w:r>
      <w:r>
        <w:rPr>
          <w:rFonts w:ascii="仿宋" w:hAnsi="仿宋" w:eastAsia="仿宋" w:cs="Times New Roman"/>
          <w:color w:val="auto"/>
          <w:sz w:val="32"/>
          <w:szCs w:val="32"/>
        </w:rPr>
        <w:t>）</w:t>
      </w:r>
      <w:r>
        <w:rPr>
          <w:rFonts w:hint="eastAsia" w:ascii="仿宋" w:hAnsi="仿宋" w:eastAsia="仿宋" w:cs="Times New Roman"/>
          <w:color w:val="auto"/>
          <w:sz w:val="32"/>
          <w:szCs w:val="32"/>
        </w:rPr>
        <w:t>上级补助收入：指预算单位从主管部门或上级单位取得的非财政拨款补助收入。</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w:t>
      </w:r>
      <w:r>
        <w:rPr>
          <w:rFonts w:hint="eastAsia" w:ascii="仿宋" w:hAnsi="仿宋" w:eastAsia="仿宋" w:cs="Times New Roman"/>
          <w:color w:val="auto"/>
          <w:sz w:val="32"/>
          <w:szCs w:val="32"/>
        </w:rPr>
        <w:t>七</w:t>
      </w:r>
      <w:r>
        <w:rPr>
          <w:rFonts w:ascii="仿宋" w:hAnsi="仿宋" w:eastAsia="仿宋" w:cs="Times New Roman"/>
          <w:color w:val="auto"/>
          <w:sz w:val="32"/>
          <w:szCs w:val="32"/>
        </w:rPr>
        <w:t>）</w:t>
      </w:r>
      <w:r>
        <w:rPr>
          <w:rFonts w:hint="eastAsia" w:ascii="仿宋" w:hAnsi="仿宋" w:eastAsia="仿宋" w:cs="Times New Roman"/>
          <w:color w:val="auto"/>
          <w:sz w:val="32"/>
          <w:szCs w:val="32"/>
        </w:rPr>
        <w:t>附属单位上缴收入：指本单位所属下级单位（包含独立核算和非独立核算的，相关支出纳入和未纳入部门预算的下级单位）上缴给本单位的全部收入（包括下级事业单位上缴的事业收入、其他收入和下级企业单位上缴的利润等）。</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w:t>
      </w:r>
      <w:r>
        <w:rPr>
          <w:rFonts w:hint="eastAsia" w:ascii="仿宋" w:hAnsi="仿宋" w:eastAsia="仿宋" w:cs="Times New Roman"/>
          <w:color w:val="auto"/>
          <w:sz w:val="32"/>
          <w:szCs w:val="32"/>
        </w:rPr>
        <w:t>八</w:t>
      </w:r>
      <w:r>
        <w:rPr>
          <w:rFonts w:ascii="仿宋" w:hAnsi="仿宋" w:eastAsia="仿宋" w:cs="Times New Roman"/>
          <w:color w:val="auto"/>
          <w:sz w:val="32"/>
          <w:szCs w:val="32"/>
        </w:rPr>
        <w:t>）事业单位经营收入：指事业单位在专业业务活动及其辅助活动之外开展非独立核算经营活动取得的收入。</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w:t>
      </w:r>
      <w:r>
        <w:rPr>
          <w:rFonts w:hint="eastAsia" w:ascii="仿宋" w:hAnsi="仿宋" w:eastAsia="仿宋" w:cs="Times New Roman"/>
          <w:color w:val="auto"/>
          <w:sz w:val="32"/>
          <w:szCs w:val="32"/>
        </w:rPr>
        <w:t>九</w:t>
      </w:r>
      <w:r>
        <w:rPr>
          <w:rFonts w:ascii="仿宋" w:hAnsi="仿宋" w:eastAsia="仿宋" w:cs="Times New Roman"/>
          <w:color w:val="auto"/>
          <w:sz w:val="32"/>
          <w:szCs w:val="32"/>
        </w:rPr>
        <w:t>）其他收入：指除上述“一般公共预算拨款收入”、</w:t>
      </w:r>
      <w:r>
        <w:rPr>
          <w:rFonts w:hint="eastAsia" w:ascii="仿宋" w:hAnsi="仿宋" w:eastAsia="仿宋" w:cs="Times New Roman"/>
          <w:color w:val="auto"/>
          <w:sz w:val="32"/>
          <w:szCs w:val="32"/>
        </w:rPr>
        <w:t>“政府性基金预算拨款收入”、</w:t>
      </w:r>
      <w:r>
        <w:rPr>
          <w:rFonts w:ascii="仿宋" w:hAnsi="仿宋" w:eastAsia="仿宋" w:cs="Times New Roman"/>
          <w:color w:val="auto"/>
          <w:sz w:val="32"/>
          <w:szCs w:val="32"/>
        </w:rPr>
        <w:t>“事业收入”、“事业单位经营收入”等以外的收入。</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w:t>
      </w:r>
      <w:r>
        <w:rPr>
          <w:rFonts w:hint="eastAsia" w:ascii="仿宋" w:hAnsi="仿宋" w:eastAsia="仿宋" w:cs="Times New Roman"/>
          <w:color w:val="auto"/>
          <w:sz w:val="32"/>
          <w:szCs w:val="32"/>
        </w:rPr>
        <w:t>十</w:t>
      </w:r>
      <w:r>
        <w:rPr>
          <w:rFonts w:ascii="仿宋" w:hAnsi="仿宋" w:eastAsia="仿宋" w:cs="Times New Roman"/>
          <w:color w:val="auto"/>
          <w:sz w:val="32"/>
          <w:szCs w:val="32"/>
        </w:rPr>
        <w:t>）用事业基金弥补收支差额：指事业单位在预计当年的“一般公共预算拨款收入”、</w:t>
      </w:r>
      <w:r>
        <w:rPr>
          <w:rFonts w:hint="eastAsia" w:ascii="仿宋" w:hAnsi="仿宋" w:eastAsia="仿宋" w:cs="Times New Roman"/>
          <w:color w:val="auto"/>
          <w:sz w:val="32"/>
          <w:szCs w:val="32"/>
        </w:rPr>
        <w:t>“政府性基金预算拨款收入”、</w:t>
      </w:r>
      <w:r>
        <w:rPr>
          <w:rFonts w:ascii="仿宋" w:hAnsi="仿宋" w:eastAsia="仿宋" w:cs="Times New Roman"/>
          <w:color w:val="auto"/>
          <w:sz w:val="32"/>
          <w:szCs w:val="32"/>
        </w:rPr>
        <w:t>“事业收入”、“事业单位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（十</w:t>
      </w:r>
      <w:r>
        <w:rPr>
          <w:rFonts w:hint="eastAsia" w:ascii="仿宋" w:hAnsi="仿宋" w:eastAsia="仿宋" w:cs="Times New Roman"/>
          <w:color w:val="auto"/>
          <w:sz w:val="32"/>
          <w:szCs w:val="32"/>
        </w:rPr>
        <w:t>一</w:t>
      </w:r>
      <w:r>
        <w:rPr>
          <w:rFonts w:ascii="仿宋" w:hAnsi="仿宋" w:eastAsia="仿宋" w:cs="Times New Roman"/>
          <w:color w:val="auto"/>
          <w:sz w:val="32"/>
          <w:szCs w:val="32"/>
        </w:rPr>
        <w:t>）上年结转：指以前年度尚未完成、结转到本年仍按原规定用途继续使用的资金。</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（十二）结转下年：指以前年度预算安排、因客观条件发生变化无法按原计划实施，需延迟到以后年度按原规定用途继续使用的资金。</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（十三）基本支出：指为保障机构正常运转、完成日常工作任务而发生的人员支出和公用支出。</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（十</w:t>
      </w:r>
      <w:r>
        <w:rPr>
          <w:rFonts w:hint="eastAsia" w:ascii="仿宋" w:hAnsi="仿宋" w:eastAsia="仿宋" w:cs="Times New Roman"/>
          <w:color w:val="auto"/>
          <w:sz w:val="32"/>
          <w:szCs w:val="32"/>
        </w:rPr>
        <w:t>四</w:t>
      </w:r>
      <w:r>
        <w:rPr>
          <w:rFonts w:ascii="仿宋" w:hAnsi="仿宋" w:eastAsia="仿宋" w:cs="Times New Roman"/>
          <w:color w:val="auto"/>
          <w:sz w:val="32"/>
          <w:szCs w:val="32"/>
        </w:rPr>
        <w:t>）项目支出：指在基本支出之外为完成特定行政任务和事业发展目标所发生的支出。</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（十</w:t>
      </w:r>
      <w:r>
        <w:rPr>
          <w:rFonts w:hint="eastAsia" w:ascii="仿宋" w:hAnsi="仿宋" w:eastAsia="仿宋" w:cs="Times New Roman"/>
          <w:color w:val="auto"/>
          <w:sz w:val="32"/>
          <w:szCs w:val="32"/>
        </w:rPr>
        <w:t>五</w:t>
      </w:r>
      <w:r>
        <w:rPr>
          <w:rFonts w:ascii="仿宋" w:hAnsi="仿宋" w:eastAsia="仿宋" w:cs="Times New Roman"/>
          <w:color w:val="auto"/>
          <w:sz w:val="32"/>
          <w:szCs w:val="32"/>
        </w:rPr>
        <w:t>）上缴上级支出：指附属单位上缴上级的支出。</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（十</w:t>
      </w:r>
      <w:r>
        <w:rPr>
          <w:rFonts w:hint="eastAsia" w:ascii="仿宋" w:hAnsi="仿宋" w:eastAsia="仿宋" w:cs="Times New Roman"/>
          <w:color w:val="auto"/>
          <w:sz w:val="32"/>
          <w:szCs w:val="32"/>
        </w:rPr>
        <w:t>六</w:t>
      </w:r>
      <w:r>
        <w:rPr>
          <w:rFonts w:ascii="仿宋" w:hAnsi="仿宋" w:eastAsia="仿宋" w:cs="Times New Roman"/>
          <w:color w:val="auto"/>
          <w:sz w:val="32"/>
          <w:szCs w:val="32"/>
        </w:rPr>
        <w:t>）事业单位经营支出：指事业单位在专业业务活动及其辅助活动之外开展非独立核算经营活动发生的支出。</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（十</w:t>
      </w:r>
      <w:r>
        <w:rPr>
          <w:rFonts w:hint="eastAsia" w:ascii="仿宋" w:hAnsi="仿宋" w:eastAsia="仿宋" w:cs="Times New Roman"/>
          <w:color w:val="auto"/>
          <w:sz w:val="32"/>
          <w:szCs w:val="32"/>
        </w:rPr>
        <w:t>七</w:t>
      </w:r>
      <w:r>
        <w:rPr>
          <w:rFonts w:ascii="仿宋" w:hAnsi="仿宋" w:eastAsia="仿宋" w:cs="Times New Roman"/>
          <w:color w:val="auto"/>
          <w:sz w:val="32"/>
          <w:szCs w:val="32"/>
        </w:rPr>
        <w:t>）对附属单位补助支出：指对附属单位补助发生的支出。</w:t>
      </w:r>
    </w:p>
    <w:p>
      <w:pPr>
        <w:ind w:firstLine="640" w:firstLineChars="200"/>
        <w:rPr>
          <w:rFonts w:ascii="仿宋" w:hAnsi="仿宋" w:eastAsia="仿宋"/>
          <w:b/>
          <w:color w:val="auto"/>
          <w:sz w:val="32"/>
          <w:szCs w:val="32"/>
        </w:rPr>
      </w:pPr>
      <w:r>
        <w:rPr>
          <w:rFonts w:ascii="仿宋" w:hAnsi="仿宋" w:eastAsia="仿宋" w:cs="Times New Roman"/>
          <w:color w:val="auto"/>
          <w:sz w:val="32"/>
          <w:szCs w:val="32"/>
        </w:rPr>
        <w:t>（十</w:t>
      </w:r>
      <w:r>
        <w:rPr>
          <w:rFonts w:hint="eastAsia" w:ascii="仿宋" w:hAnsi="仿宋" w:eastAsia="仿宋" w:cs="Times New Roman"/>
          <w:color w:val="auto"/>
          <w:sz w:val="32"/>
          <w:szCs w:val="32"/>
        </w:rPr>
        <w:t>八</w:t>
      </w:r>
      <w:r>
        <w:rPr>
          <w:rFonts w:ascii="仿宋" w:hAnsi="仿宋" w:eastAsia="仿宋" w:cs="Times New Roman"/>
          <w:color w:val="auto"/>
          <w:sz w:val="32"/>
          <w:szCs w:val="32"/>
        </w:rPr>
        <w:t>）“三公”经费：纳入财政预决算管理的“三公”经费，是指部门用财政拨款安排的因公出国（境）费、公务用车购置及运行费和公务接待费。其中，因公出国（境）费反映单位公务出国（境）费的国际旅游、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rPr>
          <w:rFonts w:ascii="仿宋" w:hAnsi="仿宋" w:eastAsia="仿宋" w:cs="Times New Roman"/>
          <w:color w:val="auto"/>
          <w:sz w:val="32"/>
          <w:szCs w:val="32"/>
        </w:rPr>
      </w:pPr>
      <w:r>
        <w:rPr>
          <w:rFonts w:ascii="仿宋" w:hAnsi="仿宋" w:eastAsia="仿宋" w:cs="Times New Roman"/>
          <w:color w:val="auto"/>
          <w:sz w:val="32"/>
          <w:szCs w:val="32"/>
        </w:rPr>
        <w:t>（十</w:t>
      </w:r>
      <w:r>
        <w:rPr>
          <w:rFonts w:hint="eastAsia" w:ascii="仿宋" w:hAnsi="仿宋" w:eastAsia="仿宋" w:cs="Times New Roman"/>
          <w:color w:val="auto"/>
          <w:sz w:val="32"/>
          <w:szCs w:val="32"/>
        </w:rPr>
        <w:t>九</w:t>
      </w:r>
      <w:r>
        <w:rPr>
          <w:rFonts w:ascii="仿宋" w:hAnsi="仿宋" w:eastAsia="仿宋" w:cs="Times New Roman"/>
          <w:color w:val="auto"/>
          <w:sz w:val="32"/>
          <w:szCs w:val="32"/>
        </w:rPr>
        <w:t>）机关运行经费：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rPr>
          <w:rFonts w:ascii="仿宋" w:hAnsi="仿宋" w:eastAsia="仿宋" w:cs="Times New Roman"/>
          <w:color w:val="auto"/>
          <w:sz w:val="32"/>
          <w:szCs w:val="32"/>
        </w:rPr>
      </w:pPr>
      <w:r>
        <w:rPr>
          <w:rFonts w:ascii="仿宋" w:hAnsi="仿宋" w:eastAsia="仿宋" w:cs="Times New Roman"/>
          <w:color w:val="auto"/>
          <w:sz w:val="32"/>
          <w:szCs w:val="32"/>
        </w:rPr>
        <w:t>（</w:t>
      </w:r>
      <w:r>
        <w:rPr>
          <w:rFonts w:hint="eastAsia" w:ascii="仿宋" w:hAnsi="仿宋" w:eastAsia="仿宋" w:cs="Times New Roman"/>
          <w:color w:val="auto"/>
          <w:sz w:val="32"/>
          <w:szCs w:val="32"/>
        </w:rPr>
        <w:t>二十</w:t>
      </w:r>
      <w:r>
        <w:rPr>
          <w:rFonts w:ascii="仿宋" w:hAnsi="仿宋" w:eastAsia="仿宋" w:cs="Times New Roman"/>
          <w:color w:val="auto"/>
          <w:sz w:val="32"/>
          <w:szCs w:val="32"/>
        </w:rPr>
        <w:t>）</w:t>
      </w:r>
      <w:r>
        <w:rPr>
          <w:rFonts w:hint="eastAsia" w:ascii="仿宋" w:hAnsi="仿宋" w:eastAsia="仿宋" w:cs="Times New Roman"/>
          <w:color w:val="auto"/>
          <w:sz w:val="32"/>
          <w:szCs w:val="32"/>
        </w:rPr>
        <w:t>项目支出绩效目标：项目支出绩效目标是指部门预算安排的项目支出在一定期限内预期达到的产出和效果。</w:t>
      </w:r>
    </w:p>
    <w:p>
      <w:pPr>
        <w:rPr>
          <w:rFonts w:asciiTheme="minorEastAsia" w:hAnsiTheme="minorEastAsia"/>
          <w:b/>
          <w:color w:val="auto"/>
          <w:sz w:val="48"/>
          <w:szCs w:val="48"/>
        </w:rPr>
      </w:pPr>
    </w:p>
    <w:p>
      <w:pPr>
        <w:rPr>
          <w:rFonts w:asciiTheme="minorEastAsia" w:hAnsiTheme="minorEastAsia"/>
          <w:b/>
          <w:color w:val="auto"/>
          <w:sz w:val="48"/>
          <w:szCs w:val="48"/>
        </w:rPr>
      </w:pPr>
    </w:p>
    <w:p>
      <w:pPr>
        <w:rPr>
          <w:rFonts w:asciiTheme="minorEastAsia" w:hAnsiTheme="minorEastAsia"/>
          <w:b/>
          <w:color w:val="auto"/>
          <w:sz w:val="48"/>
          <w:szCs w:val="48"/>
        </w:rPr>
      </w:pPr>
    </w:p>
    <w:p>
      <w:pPr>
        <w:rPr>
          <w:rFonts w:asciiTheme="minorEastAsia" w:hAnsiTheme="minorEastAsia"/>
          <w:b/>
          <w:color w:val="auto"/>
          <w:sz w:val="48"/>
          <w:szCs w:val="48"/>
        </w:rPr>
      </w:pPr>
    </w:p>
    <w:p>
      <w:pPr>
        <w:rPr>
          <w:rFonts w:asciiTheme="minorEastAsia" w:hAnsiTheme="minorEastAsia"/>
          <w:b/>
          <w:color w:val="auto"/>
          <w:sz w:val="48"/>
          <w:szCs w:val="48"/>
        </w:rPr>
      </w:pPr>
    </w:p>
    <w:p>
      <w:pPr>
        <w:rPr>
          <w:rFonts w:asciiTheme="minorEastAsia" w:hAnsiTheme="minorEastAsia"/>
          <w:b/>
          <w:color w:val="auto"/>
          <w:sz w:val="48"/>
          <w:szCs w:val="48"/>
        </w:rPr>
      </w:pPr>
    </w:p>
    <w:p>
      <w:pPr>
        <w:rPr>
          <w:rFonts w:asciiTheme="minorEastAsia" w:hAnsiTheme="minorEastAsia"/>
          <w:b/>
          <w:color w:val="auto"/>
          <w:sz w:val="48"/>
          <w:szCs w:val="48"/>
        </w:rPr>
      </w:pPr>
    </w:p>
    <w:p>
      <w:pPr>
        <w:rPr>
          <w:rFonts w:asciiTheme="minorEastAsia" w:hAnsiTheme="minorEastAsia"/>
          <w:b/>
          <w:color w:val="auto"/>
          <w:sz w:val="48"/>
          <w:szCs w:val="48"/>
        </w:rPr>
        <w:sectPr>
          <w:footerReference r:id="rId3" w:type="default"/>
          <w:pgSz w:w="11906" w:h="16838"/>
          <w:pgMar w:top="1440" w:right="1800" w:bottom="1440" w:left="1800" w:header="851" w:footer="992" w:gutter="0"/>
          <w:cols w:space="425" w:num="1"/>
          <w:docGrid w:type="lines" w:linePitch="312" w:charSpace="0"/>
        </w:sectPr>
      </w:pPr>
      <w:r>
        <w:rPr>
          <w:rFonts w:asciiTheme="minorEastAsia" w:hAnsiTheme="minorEastAsia"/>
          <w:b/>
          <w:color w:val="auto"/>
          <w:sz w:val="48"/>
          <w:szCs w:val="48"/>
        </w:rPr>
        <w:object>
          <v:shape id="_x0000_i1025" o:spt="75" type="#_x0000_t75" style="height:604.5pt;width:424.5pt;" o:ole="t" filled="f" o:preferrelative="t" stroked="f" coordsize="21600,21600">
            <v:path/>
            <v:fill on="f" focussize="0,0"/>
            <v:stroke on="f" joinstyle="miter"/>
            <v:imagedata r:id="rId6" o:title=""/>
            <o:lock v:ext="edit" aspectratio="t"/>
            <w10:wrap type="none"/>
            <w10:anchorlock/>
          </v:shape>
          <o:OLEObject Type="Embed" ProgID="Excel.Sheet.12" ShapeID="_x0000_i1025" DrawAspect="Content" ObjectID="_1468075725" r:id="rId5">
            <o:LockedField>false</o:LockedField>
          </o:OLEObject>
        </w:object>
      </w:r>
    </w:p>
    <w:p>
      <w:pPr>
        <w:rPr>
          <w:rFonts w:asciiTheme="minorEastAsia" w:hAnsiTheme="minorEastAsia"/>
          <w:b/>
          <w:color w:val="auto"/>
          <w:sz w:val="48"/>
          <w:szCs w:val="48"/>
        </w:rPr>
        <w:sectPr>
          <w:pgSz w:w="16838" w:h="11906" w:orient="landscape"/>
          <w:pgMar w:top="1800" w:right="1440" w:bottom="1800" w:left="1440" w:header="851" w:footer="992" w:gutter="0"/>
          <w:cols w:space="425" w:num="1"/>
          <w:docGrid w:type="lines" w:linePitch="312" w:charSpace="0"/>
        </w:sectPr>
      </w:pPr>
      <w:r>
        <w:rPr>
          <w:rFonts w:asciiTheme="minorEastAsia" w:hAnsiTheme="minorEastAsia"/>
          <w:b/>
          <w:color w:val="auto"/>
          <w:sz w:val="48"/>
          <w:szCs w:val="48"/>
        </w:rPr>
        <w:object>
          <v:shape id="_x0000_i1026" o:spt="75" type="#_x0000_t75" style="height:189.75pt;width:701.25pt;" o:ole="t" filled="f" o:preferrelative="t" stroked="f" coordsize="21600,21600">
            <v:path/>
            <v:fill on="f" focussize="0,0"/>
            <v:stroke on="f" joinstyle="miter"/>
            <v:imagedata r:id="rId8" o:title=""/>
            <o:lock v:ext="edit" aspectratio="t"/>
            <w10:wrap type="none"/>
            <w10:anchorlock/>
          </v:shape>
          <o:OLEObject Type="Embed" ProgID="Excel.Sheet.12" ShapeID="_x0000_i1026" DrawAspect="Content" ObjectID="_1468075726" r:id="rId7">
            <o:LockedField>false</o:LockedField>
          </o:OLEObject>
        </w:object>
      </w:r>
    </w:p>
    <w:p>
      <w:pPr>
        <w:rPr>
          <w:rFonts w:asciiTheme="minorEastAsia" w:hAnsiTheme="minorEastAsia"/>
          <w:b/>
          <w:color w:val="auto"/>
          <w:sz w:val="48"/>
          <w:szCs w:val="48"/>
        </w:rPr>
        <w:sectPr>
          <w:pgSz w:w="16838" w:h="11906" w:orient="landscape"/>
          <w:pgMar w:top="1800" w:right="1440" w:bottom="1800" w:left="1440" w:header="851" w:footer="992" w:gutter="0"/>
          <w:cols w:space="425" w:num="1"/>
          <w:docGrid w:type="lines" w:linePitch="312" w:charSpace="0"/>
        </w:sectPr>
      </w:pPr>
      <w:r>
        <w:rPr>
          <w:rFonts w:asciiTheme="minorEastAsia" w:hAnsiTheme="minorEastAsia"/>
          <w:b/>
          <w:color w:val="auto"/>
          <w:sz w:val="48"/>
          <w:szCs w:val="48"/>
        </w:rPr>
        <w:object>
          <v:shape id="_x0000_i1027" o:spt="75" type="#_x0000_t75" style="height:316.5pt;width:690.75pt;" o:ole="t" filled="f" o:preferrelative="t" stroked="f" coordsize="21600,21600">
            <v:path/>
            <v:fill on="f" focussize="0,0"/>
            <v:stroke on="f" joinstyle="miter"/>
            <v:imagedata r:id="rId10" o:title=""/>
            <o:lock v:ext="edit" aspectratio="t"/>
            <w10:wrap type="none"/>
            <w10:anchorlock/>
          </v:shape>
          <o:OLEObject Type="Embed" ProgID="Excel.Sheet.12" ShapeID="_x0000_i1027" DrawAspect="Content" ObjectID="_1468075727" r:id="rId9">
            <o:LockedField>false</o:LockedField>
          </o:OLEObject>
        </w:object>
      </w:r>
    </w:p>
    <w:p>
      <w:pPr>
        <w:rPr>
          <w:rFonts w:asciiTheme="minorEastAsia" w:hAnsiTheme="minorEastAsia"/>
          <w:b/>
          <w:color w:val="auto"/>
          <w:sz w:val="48"/>
          <w:szCs w:val="48"/>
        </w:rPr>
        <w:sectPr>
          <w:pgSz w:w="11906" w:h="16838"/>
          <w:pgMar w:top="1440" w:right="1800" w:bottom="1440" w:left="1800" w:header="851" w:footer="992" w:gutter="0"/>
          <w:cols w:space="425" w:num="1"/>
          <w:docGrid w:type="lines" w:linePitch="312" w:charSpace="0"/>
        </w:sectPr>
      </w:pPr>
      <w:r>
        <w:rPr>
          <w:rFonts w:asciiTheme="minorEastAsia" w:hAnsiTheme="minorEastAsia"/>
          <w:b/>
          <w:color w:val="auto"/>
          <w:sz w:val="48"/>
          <w:szCs w:val="48"/>
        </w:rPr>
        <w:object>
          <v:shape id="_x0000_i1028" o:spt="75" type="#_x0000_t75" style="height:569.25pt;width:410.25pt;" o:ole="t" filled="f" o:preferrelative="t" stroked="f" coordsize="21600,21600">
            <v:path/>
            <v:fill on="f" focussize="0,0"/>
            <v:stroke on="f" joinstyle="miter"/>
            <v:imagedata r:id="rId12" o:title=""/>
            <o:lock v:ext="edit" aspectratio="t"/>
            <w10:wrap type="none"/>
            <w10:anchorlock/>
          </v:shape>
          <o:OLEObject Type="Embed" ProgID="Excel.Sheet.12" ShapeID="_x0000_i1028" DrawAspect="Content" ObjectID="_1468075728" r:id="rId11">
            <o:LockedField>false</o:LockedField>
          </o:OLEObject>
        </w:object>
      </w:r>
    </w:p>
    <w:p>
      <w:pPr>
        <w:rPr>
          <w:rFonts w:asciiTheme="minorEastAsia" w:hAnsiTheme="minorEastAsia"/>
          <w:b/>
          <w:color w:val="auto"/>
          <w:sz w:val="48"/>
          <w:szCs w:val="48"/>
        </w:rPr>
        <w:sectPr>
          <w:pgSz w:w="11906" w:h="16838"/>
          <w:pgMar w:top="1440" w:right="1800" w:bottom="1440" w:left="1800" w:header="851" w:footer="992" w:gutter="0"/>
          <w:cols w:space="425" w:num="1"/>
          <w:docGrid w:type="lines" w:linePitch="312" w:charSpace="0"/>
        </w:sectPr>
      </w:pPr>
      <w:r>
        <w:rPr>
          <w:rFonts w:asciiTheme="minorEastAsia" w:hAnsiTheme="minorEastAsia"/>
          <w:b/>
          <w:color w:val="auto"/>
          <w:sz w:val="48"/>
          <w:szCs w:val="48"/>
        </w:rPr>
        <w:object>
          <v:shape id="_x0000_i1029" o:spt="75" type="#_x0000_t75" style="height:423.75pt;width:444.75pt;" o:ole="t" filled="f" o:preferrelative="t" stroked="f" coordsize="21600,21600">
            <v:path/>
            <v:fill on="f" focussize="0,0"/>
            <v:stroke on="f" joinstyle="miter"/>
            <v:imagedata r:id="rId14" o:title=""/>
            <o:lock v:ext="edit" aspectratio="t"/>
            <w10:wrap type="none"/>
            <w10:anchorlock/>
          </v:shape>
          <o:OLEObject Type="Embed" ProgID="Excel.Sheet.12" ShapeID="_x0000_i1029" DrawAspect="Content" ObjectID="_1468075729" r:id="rId13">
            <o:LockedField>false</o:LockedField>
          </o:OLEObject>
        </w:object>
      </w:r>
    </w:p>
    <w:p>
      <w:pPr>
        <w:rPr>
          <w:rFonts w:asciiTheme="minorEastAsia" w:hAnsiTheme="minorEastAsia"/>
          <w:b/>
          <w:color w:val="auto"/>
          <w:sz w:val="48"/>
          <w:szCs w:val="48"/>
        </w:rPr>
        <w:sectPr>
          <w:pgSz w:w="11906" w:h="16838"/>
          <w:pgMar w:top="1440" w:right="1800" w:bottom="1440" w:left="1800" w:header="851" w:footer="992" w:gutter="0"/>
          <w:cols w:space="425" w:num="1"/>
          <w:docGrid w:type="lines" w:linePitch="312" w:charSpace="0"/>
        </w:sectPr>
      </w:pPr>
      <w:r>
        <w:rPr>
          <w:rFonts w:asciiTheme="minorEastAsia" w:hAnsiTheme="minorEastAsia"/>
          <w:b/>
          <w:color w:val="auto"/>
          <w:sz w:val="48"/>
          <w:szCs w:val="48"/>
        </w:rPr>
        <w:object>
          <v:shape id="_x0000_i1030" o:spt="75" type="#_x0000_t75" style="height:345pt;width:409.5pt;" o:ole="t" filled="f" o:preferrelative="t" stroked="f" coordsize="21600,21600">
            <v:path/>
            <v:fill on="f" focussize="0,0"/>
            <v:stroke on="f" joinstyle="miter"/>
            <v:imagedata r:id="rId16" o:title=""/>
            <o:lock v:ext="edit" aspectratio="t"/>
            <w10:wrap type="none"/>
            <w10:anchorlock/>
          </v:shape>
          <o:OLEObject Type="Embed" ProgID="Excel.Sheet.12" ShapeID="_x0000_i1030" DrawAspect="Content" ObjectID="_1468075730" r:id="rId15">
            <o:LockedField>false</o:LockedField>
          </o:OLEObject>
        </w:object>
      </w:r>
    </w:p>
    <w:p>
      <w:pPr>
        <w:rPr>
          <w:rFonts w:asciiTheme="minorEastAsia" w:hAnsiTheme="minorEastAsia"/>
          <w:b/>
          <w:color w:val="auto"/>
          <w:sz w:val="48"/>
          <w:szCs w:val="48"/>
        </w:rPr>
        <w:sectPr>
          <w:pgSz w:w="11906" w:h="16838"/>
          <w:pgMar w:top="1440" w:right="1800" w:bottom="1440" w:left="1800" w:header="851" w:footer="992" w:gutter="0"/>
          <w:cols w:space="425" w:num="1"/>
          <w:docGrid w:type="lines" w:linePitch="312" w:charSpace="0"/>
        </w:sectPr>
      </w:pPr>
      <w:r>
        <w:rPr>
          <w:rFonts w:asciiTheme="minorEastAsia" w:hAnsiTheme="minorEastAsia"/>
          <w:b/>
          <w:color w:val="auto"/>
          <w:sz w:val="48"/>
          <w:szCs w:val="48"/>
        </w:rPr>
        <w:object>
          <v:shape id="_x0000_i1031" o:spt="75" type="#_x0000_t75" style="height:250.5pt;width:425.25pt;" o:ole="t" filled="f" o:preferrelative="t" stroked="f" coordsize="21600,21600">
            <v:path/>
            <v:fill on="f" focussize="0,0"/>
            <v:stroke on="f" joinstyle="miter"/>
            <v:imagedata r:id="rId18" o:title=""/>
            <o:lock v:ext="edit" aspectratio="t"/>
            <w10:wrap type="none"/>
            <w10:anchorlock/>
          </v:shape>
          <o:OLEObject Type="Embed" ProgID="Excel.Sheet.12" ShapeID="_x0000_i1031" DrawAspect="Content" ObjectID="_1468075731" r:id="rId17">
            <o:LockedField>false</o:LockedField>
          </o:OLEObject>
        </w:object>
      </w:r>
    </w:p>
    <w:p>
      <w:pPr>
        <w:rPr>
          <w:rFonts w:asciiTheme="minorEastAsia" w:hAnsiTheme="minorEastAsia"/>
          <w:b/>
          <w:color w:val="auto"/>
          <w:sz w:val="48"/>
          <w:szCs w:val="48"/>
        </w:rPr>
        <w:sectPr>
          <w:pgSz w:w="11906" w:h="16838"/>
          <w:pgMar w:top="1440" w:right="1800" w:bottom="1440" w:left="1800" w:header="851" w:footer="992" w:gutter="0"/>
          <w:cols w:space="425" w:num="1"/>
          <w:docGrid w:type="lines" w:linePitch="312" w:charSpace="0"/>
        </w:sectPr>
      </w:pPr>
      <w:r>
        <w:rPr>
          <w:rFonts w:asciiTheme="minorEastAsia" w:hAnsiTheme="minorEastAsia"/>
          <w:b/>
          <w:color w:val="auto"/>
          <w:sz w:val="48"/>
          <w:szCs w:val="48"/>
        </w:rPr>
        <w:object>
          <v:shape id="_x0000_i1032" o:spt="75" type="#_x0000_t75" style="height:161.25pt;width:435pt;" o:ole="t" filled="f" o:preferrelative="t" stroked="f" coordsize="21600,21600">
            <v:path/>
            <v:fill on="f" focussize="0,0"/>
            <v:stroke on="f" joinstyle="miter"/>
            <v:imagedata r:id="rId20" o:title=""/>
            <o:lock v:ext="edit" aspectratio="t"/>
            <w10:wrap type="none"/>
            <w10:anchorlock/>
          </v:shape>
          <o:OLEObject Type="Embed" ProgID="Excel.Sheet.12" ShapeID="_x0000_i1032" DrawAspect="Content" ObjectID="_1468075732" r:id="rId19">
            <o:LockedField>false</o:LockedField>
          </o:OLEObject>
        </w:object>
      </w:r>
    </w:p>
    <w:tbl>
      <w:tblPr>
        <w:tblStyle w:val="6"/>
        <w:tblW w:w="9465" w:type="dxa"/>
        <w:tblInd w:w="87" w:type="dxa"/>
        <w:tblLayout w:type="autofit"/>
        <w:tblCellMar>
          <w:top w:w="0" w:type="dxa"/>
          <w:left w:w="108" w:type="dxa"/>
          <w:bottom w:w="0" w:type="dxa"/>
          <w:right w:w="108" w:type="dxa"/>
        </w:tblCellMar>
      </w:tblPr>
      <w:tblGrid>
        <w:gridCol w:w="2850"/>
        <w:gridCol w:w="2100"/>
        <w:gridCol w:w="2145"/>
        <w:gridCol w:w="2370"/>
      </w:tblGrid>
      <w:tr>
        <w:tblPrEx>
          <w:tblCellMar>
            <w:top w:w="0" w:type="dxa"/>
            <w:left w:w="108" w:type="dxa"/>
            <w:bottom w:w="0" w:type="dxa"/>
            <w:right w:w="108" w:type="dxa"/>
          </w:tblCellMar>
        </w:tblPrEx>
        <w:trPr>
          <w:trHeight w:val="330" w:hRule="atLeast"/>
        </w:trPr>
        <w:tc>
          <w:tcPr>
            <w:tcW w:w="9465" w:type="dxa"/>
            <w:gridSpan w:val="4"/>
            <w:tcBorders>
              <w:top w:val="nil"/>
              <w:left w:val="nil"/>
              <w:bottom w:val="nil"/>
              <w:right w:val="nil"/>
            </w:tcBorders>
            <w:shd w:val="clear" w:color="auto" w:fill="auto"/>
            <w:vAlign w:val="center"/>
          </w:tcPr>
          <w:p>
            <w:pPr>
              <w:widowControl/>
              <w:jc w:val="right"/>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预算表9</w:t>
            </w:r>
          </w:p>
        </w:tc>
      </w:tr>
      <w:tr>
        <w:tblPrEx>
          <w:tblCellMar>
            <w:top w:w="0" w:type="dxa"/>
            <w:left w:w="108" w:type="dxa"/>
            <w:bottom w:w="0" w:type="dxa"/>
            <w:right w:w="108" w:type="dxa"/>
          </w:tblCellMar>
        </w:tblPrEx>
        <w:trPr>
          <w:trHeight w:val="799" w:hRule="atLeast"/>
        </w:trPr>
        <w:tc>
          <w:tcPr>
            <w:tcW w:w="9465" w:type="dxa"/>
            <w:gridSpan w:val="4"/>
            <w:tcBorders>
              <w:top w:val="nil"/>
              <w:left w:val="nil"/>
              <w:bottom w:val="nil"/>
              <w:right w:val="nil"/>
            </w:tcBorders>
            <w:shd w:val="clear" w:color="auto" w:fill="auto"/>
            <w:noWrap/>
            <w:vAlign w:val="center"/>
          </w:tcPr>
          <w:p>
            <w:pPr>
              <w:widowControl/>
              <w:jc w:val="center"/>
              <w:rPr>
                <w:rFonts w:ascii="华文细黑" w:hAnsi="华文细黑" w:eastAsia="华文细黑" w:cs="宋体"/>
                <w:color w:val="auto"/>
                <w:kern w:val="0"/>
                <w:sz w:val="36"/>
                <w:szCs w:val="36"/>
              </w:rPr>
            </w:pPr>
            <w:r>
              <w:rPr>
                <w:rFonts w:hint="eastAsia" w:ascii="华文细黑" w:hAnsi="华文细黑" w:eastAsia="华文细黑" w:cs="宋体"/>
                <w:color w:val="auto"/>
                <w:kern w:val="0"/>
                <w:sz w:val="36"/>
                <w:szCs w:val="36"/>
              </w:rPr>
              <w:t>国有资本经营预算支出表</w:t>
            </w:r>
          </w:p>
        </w:tc>
      </w:tr>
      <w:tr>
        <w:tblPrEx>
          <w:tblCellMar>
            <w:top w:w="0" w:type="dxa"/>
            <w:left w:w="108" w:type="dxa"/>
            <w:bottom w:w="0" w:type="dxa"/>
            <w:right w:w="108" w:type="dxa"/>
          </w:tblCellMar>
        </w:tblPrEx>
        <w:trPr>
          <w:trHeight w:val="330" w:hRule="atLeast"/>
        </w:trPr>
        <w:tc>
          <w:tcPr>
            <w:tcW w:w="2850" w:type="dxa"/>
            <w:tcBorders>
              <w:top w:val="nil"/>
              <w:left w:val="nil"/>
              <w:bottom w:val="nil"/>
              <w:right w:val="nil"/>
            </w:tcBorders>
            <w:shd w:val="clear" w:color="auto" w:fill="auto"/>
            <w:vAlign w:val="center"/>
          </w:tcPr>
          <w:p>
            <w:pPr>
              <w:widowControl/>
              <w:jc w:val="left"/>
              <w:rPr>
                <w:rFonts w:ascii="华文细黑" w:hAnsi="华文细黑" w:eastAsia="华文细黑" w:cs="宋体"/>
                <w:color w:val="auto"/>
                <w:kern w:val="0"/>
                <w:sz w:val="20"/>
                <w:szCs w:val="20"/>
              </w:rPr>
            </w:pPr>
          </w:p>
        </w:tc>
        <w:tc>
          <w:tcPr>
            <w:tcW w:w="6615" w:type="dxa"/>
            <w:gridSpan w:val="3"/>
            <w:tcBorders>
              <w:top w:val="nil"/>
              <w:left w:val="nil"/>
              <w:bottom w:val="nil"/>
              <w:right w:val="nil"/>
            </w:tcBorders>
            <w:shd w:val="clear" w:color="auto" w:fill="auto"/>
            <w:vAlign w:val="bottom"/>
          </w:tcPr>
          <w:p>
            <w:pPr>
              <w:widowControl/>
              <w:jc w:val="right"/>
              <w:rPr>
                <w:rFonts w:ascii="华文细黑" w:hAnsi="华文细黑" w:eastAsia="华文细黑" w:cs="宋体"/>
                <w:color w:val="auto"/>
                <w:kern w:val="0"/>
                <w:sz w:val="18"/>
                <w:szCs w:val="18"/>
              </w:rPr>
            </w:pPr>
            <w:r>
              <w:rPr>
                <w:rFonts w:hint="eastAsia" w:ascii="华文细黑" w:hAnsi="华文细黑" w:eastAsia="华文细黑" w:cs="宋体"/>
                <w:color w:val="auto"/>
                <w:kern w:val="0"/>
                <w:sz w:val="18"/>
                <w:szCs w:val="18"/>
              </w:rPr>
              <w:t>单位：万元</w:t>
            </w:r>
          </w:p>
        </w:tc>
      </w:tr>
      <w:tr>
        <w:tblPrEx>
          <w:tblCellMar>
            <w:top w:w="0" w:type="dxa"/>
            <w:left w:w="108" w:type="dxa"/>
            <w:bottom w:w="0" w:type="dxa"/>
            <w:right w:w="108" w:type="dxa"/>
          </w:tblCellMar>
        </w:tblPrEx>
        <w:trPr>
          <w:trHeight w:val="702"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华文细黑" w:hAnsi="华文细黑" w:eastAsia="华文细黑" w:cs="宋体"/>
                <w:color w:val="auto"/>
                <w:kern w:val="0"/>
                <w:sz w:val="20"/>
                <w:szCs w:val="20"/>
              </w:rPr>
            </w:pPr>
            <w:r>
              <w:rPr>
                <w:rFonts w:hint="eastAsia" w:ascii="华文细黑" w:hAnsi="华文细黑" w:eastAsia="华文细黑" w:cs="宋体"/>
                <w:color w:val="auto"/>
                <w:kern w:val="0"/>
                <w:sz w:val="20"/>
                <w:szCs w:val="20"/>
              </w:rPr>
              <w:t>功能分类科目名称</w:t>
            </w:r>
          </w:p>
        </w:tc>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华文细黑" w:hAnsi="华文细黑" w:eastAsia="华文细黑" w:cs="宋体"/>
                <w:color w:val="auto"/>
                <w:kern w:val="0"/>
                <w:sz w:val="20"/>
                <w:szCs w:val="20"/>
              </w:rPr>
            </w:pPr>
            <w:r>
              <w:rPr>
                <w:rFonts w:hint="eastAsia" w:ascii="华文细黑" w:hAnsi="华文细黑" w:eastAsia="华文细黑" w:cs="宋体"/>
                <w:color w:val="auto"/>
                <w:kern w:val="0"/>
                <w:sz w:val="20"/>
                <w:szCs w:val="20"/>
              </w:rPr>
              <w:t>合计</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华文细黑" w:hAnsi="华文细黑" w:eastAsia="华文细黑" w:cs="宋体"/>
                <w:color w:val="auto"/>
                <w:kern w:val="0"/>
                <w:sz w:val="20"/>
                <w:szCs w:val="20"/>
              </w:rPr>
            </w:pPr>
            <w:r>
              <w:rPr>
                <w:rFonts w:hint="eastAsia" w:ascii="华文细黑" w:hAnsi="华文细黑" w:eastAsia="华文细黑" w:cs="宋体"/>
                <w:color w:val="auto"/>
                <w:kern w:val="0"/>
                <w:sz w:val="20"/>
                <w:szCs w:val="20"/>
              </w:rPr>
              <w:t>基本支出</w:t>
            </w:r>
          </w:p>
        </w:tc>
        <w:tc>
          <w:tcPr>
            <w:tcW w:w="23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华文细黑" w:hAnsi="华文细黑" w:eastAsia="华文细黑" w:cs="宋体"/>
                <w:color w:val="auto"/>
                <w:kern w:val="0"/>
                <w:sz w:val="20"/>
                <w:szCs w:val="20"/>
              </w:rPr>
            </w:pPr>
            <w:r>
              <w:rPr>
                <w:rFonts w:hint="eastAsia" w:ascii="华文细黑" w:hAnsi="华文细黑" w:eastAsia="华文细黑" w:cs="宋体"/>
                <w:color w:val="auto"/>
                <w:kern w:val="0"/>
                <w:sz w:val="20"/>
                <w:szCs w:val="20"/>
              </w:rPr>
              <w:t>项目支出</w:t>
            </w:r>
          </w:p>
        </w:tc>
      </w:tr>
      <w:tr>
        <w:tblPrEx>
          <w:tblCellMar>
            <w:top w:w="0" w:type="dxa"/>
            <w:left w:w="108" w:type="dxa"/>
            <w:bottom w:w="0" w:type="dxa"/>
            <w:right w:w="108" w:type="dxa"/>
          </w:tblCellMar>
        </w:tblPrEx>
        <w:trPr>
          <w:trHeight w:val="402"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rPr>
                <w:rFonts w:ascii="Verdana" w:hAnsi="Verdana" w:eastAsia="宋体" w:cs="宋体"/>
                <w:color w:val="auto"/>
                <w:kern w:val="0"/>
                <w:sz w:val="24"/>
                <w:szCs w:val="24"/>
              </w:rPr>
            </w:pPr>
          </w:p>
        </w:tc>
        <w:tc>
          <w:tcPr>
            <w:tcW w:w="21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rPr>
                <w:rFonts w:ascii="Verdana" w:hAnsi="Verdana" w:eastAsia="宋体" w:cs="宋体"/>
                <w:color w:val="auto"/>
                <w:kern w:val="0"/>
                <w:sz w:val="20"/>
                <w:szCs w:val="20"/>
              </w:rPr>
            </w:pPr>
            <w:r>
              <w:rPr>
                <w:rFonts w:ascii="Verdana" w:hAnsi="Verdana" w:eastAsia="宋体" w:cs="宋体"/>
                <w:color w:val="auto"/>
                <w:kern w:val="0"/>
                <w:sz w:val="20"/>
                <w:szCs w:val="20"/>
              </w:rPr>
              <w:t xml:space="preserve">0.00 </w:t>
            </w:r>
          </w:p>
        </w:tc>
        <w:tc>
          <w:tcPr>
            <w:tcW w:w="21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rPr>
                <w:rFonts w:ascii="Verdana" w:hAnsi="Verdana" w:eastAsia="宋体" w:cs="宋体"/>
                <w:color w:val="auto"/>
                <w:kern w:val="0"/>
                <w:sz w:val="20"/>
                <w:szCs w:val="20"/>
              </w:rPr>
            </w:pPr>
            <w:r>
              <w:rPr>
                <w:rFonts w:ascii="Verdana" w:hAnsi="Verdana" w:eastAsia="宋体" w:cs="宋体"/>
                <w:color w:val="auto"/>
                <w:kern w:val="0"/>
                <w:sz w:val="20"/>
                <w:szCs w:val="20"/>
              </w:rPr>
              <w:t xml:space="preserve">0.00 </w:t>
            </w:r>
          </w:p>
        </w:tc>
        <w:tc>
          <w:tcPr>
            <w:tcW w:w="2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right"/>
              <w:rPr>
                <w:rFonts w:ascii="Verdana" w:hAnsi="Verdana" w:eastAsia="宋体" w:cs="宋体"/>
                <w:color w:val="auto"/>
                <w:kern w:val="0"/>
                <w:sz w:val="20"/>
                <w:szCs w:val="20"/>
              </w:rPr>
            </w:pPr>
            <w:r>
              <w:rPr>
                <w:rFonts w:ascii="Verdana" w:hAnsi="Verdana" w:eastAsia="宋体" w:cs="宋体"/>
                <w:color w:val="auto"/>
                <w:kern w:val="0"/>
                <w:sz w:val="20"/>
                <w:szCs w:val="20"/>
              </w:rPr>
              <w:t xml:space="preserve">0.00 </w:t>
            </w:r>
          </w:p>
        </w:tc>
      </w:tr>
      <w:tr>
        <w:tblPrEx>
          <w:tblCellMar>
            <w:top w:w="0" w:type="dxa"/>
            <w:left w:w="108" w:type="dxa"/>
            <w:bottom w:w="0" w:type="dxa"/>
            <w:right w:w="108" w:type="dxa"/>
          </w:tblCellMar>
        </w:tblPrEx>
        <w:trPr>
          <w:trHeight w:val="720" w:hRule="atLeast"/>
        </w:trPr>
        <w:tc>
          <w:tcPr>
            <w:tcW w:w="9465" w:type="dxa"/>
            <w:gridSpan w:val="4"/>
            <w:tcBorders>
              <w:top w:val="nil"/>
              <w:left w:val="nil"/>
              <w:bottom w:val="nil"/>
              <w:right w:val="nil"/>
            </w:tcBorders>
            <w:shd w:val="clear" w:color="auto" w:fill="auto"/>
            <w:noWrap/>
            <w:vAlign w:val="center"/>
          </w:tcPr>
          <w:p>
            <w:pPr>
              <w:widowControl/>
              <w:jc w:val="left"/>
              <w:rPr>
                <w:rFonts w:ascii="宋体" w:hAnsi="宋体" w:eastAsia="宋体" w:cs="宋体"/>
                <w:color w:val="auto"/>
                <w:kern w:val="0"/>
                <w:sz w:val="20"/>
                <w:szCs w:val="20"/>
              </w:rPr>
            </w:pPr>
            <w:r>
              <w:rPr>
                <w:rFonts w:hint="eastAsia" w:ascii="宋体" w:hAnsi="宋体" w:eastAsia="宋体" w:cs="宋体"/>
                <w:color w:val="auto"/>
                <w:kern w:val="0"/>
                <w:sz w:val="20"/>
                <w:szCs w:val="20"/>
              </w:rPr>
              <w:t>注：本部门无国有资本经营预算安排，此表无数据</w:t>
            </w:r>
          </w:p>
        </w:tc>
      </w:tr>
    </w:tbl>
    <w:p>
      <w:pPr>
        <w:rPr>
          <w:rFonts w:asciiTheme="minorEastAsia" w:hAnsiTheme="minorEastAsia"/>
          <w:b/>
          <w:color w:val="auto"/>
          <w:sz w:val="48"/>
          <w:szCs w:val="48"/>
        </w:rPr>
        <w:sectPr>
          <w:pgSz w:w="11906" w:h="16838"/>
          <w:pgMar w:top="1440" w:right="1800" w:bottom="1440" w:left="1800" w:header="851" w:footer="992" w:gutter="0"/>
          <w:cols w:space="425" w:num="1"/>
          <w:docGrid w:type="lines" w:linePitch="312" w:charSpace="0"/>
        </w:sectPr>
      </w:pPr>
    </w:p>
    <w:tbl>
      <w:tblPr>
        <w:tblStyle w:val="6"/>
        <w:tblW w:w="9630" w:type="dxa"/>
        <w:tblInd w:w="87" w:type="dxa"/>
        <w:tblLayout w:type="autofit"/>
        <w:tblCellMar>
          <w:top w:w="0" w:type="dxa"/>
          <w:left w:w="108" w:type="dxa"/>
          <w:bottom w:w="0" w:type="dxa"/>
          <w:right w:w="108" w:type="dxa"/>
        </w:tblCellMar>
      </w:tblPr>
      <w:tblGrid>
        <w:gridCol w:w="915"/>
        <w:gridCol w:w="1770"/>
        <w:gridCol w:w="1710"/>
        <w:gridCol w:w="2580"/>
        <w:gridCol w:w="1665"/>
        <w:gridCol w:w="990"/>
      </w:tblGrid>
      <w:tr>
        <w:tblPrEx>
          <w:tblCellMar>
            <w:top w:w="0" w:type="dxa"/>
            <w:left w:w="108" w:type="dxa"/>
            <w:bottom w:w="0" w:type="dxa"/>
            <w:right w:w="108" w:type="dxa"/>
          </w:tblCellMar>
        </w:tblPrEx>
        <w:trPr>
          <w:trHeight w:val="390" w:hRule="atLeast"/>
        </w:trPr>
        <w:tc>
          <w:tcPr>
            <w:tcW w:w="9630" w:type="dxa"/>
            <w:gridSpan w:val="6"/>
            <w:tcBorders>
              <w:top w:val="nil"/>
              <w:left w:val="nil"/>
              <w:bottom w:val="nil"/>
              <w:right w:val="nil"/>
            </w:tcBorders>
            <w:shd w:val="clear" w:color="auto" w:fill="auto"/>
            <w:vAlign w:val="center"/>
          </w:tcPr>
          <w:p>
            <w:pPr>
              <w:widowControl/>
              <w:jc w:val="center"/>
              <w:rPr>
                <w:rFonts w:ascii="黑体" w:hAnsi="黑体" w:eastAsia="黑体" w:cs="宋体"/>
                <w:b/>
                <w:bCs/>
                <w:color w:val="auto"/>
                <w:kern w:val="0"/>
                <w:sz w:val="32"/>
                <w:szCs w:val="32"/>
              </w:rPr>
            </w:pPr>
            <w:r>
              <w:rPr>
                <w:rFonts w:hint="eastAsia" w:ascii="黑体" w:hAnsi="黑体" w:eastAsia="黑体" w:cs="宋体"/>
                <w:b/>
                <w:bCs/>
                <w:color w:val="auto"/>
                <w:kern w:val="0"/>
                <w:sz w:val="32"/>
                <w:szCs w:val="32"/>
              </w:rPr>
              <w:t>2024年项目支出绩效目标表</w:t>
            </w:r>
          </w:p>
        </w:tc>
      </w:tr>
      <w:tr>
        <w:tblPrEx>
          <w:tblCellMar>
            <w:top w:w="0" w:type="dxa"/>
            <w:left w:w="108" w:type="dxa"/>
            <w:bottom w:w="0" w:type="dxa"/>
            <w:right w:w="108" w:type="dxa"/>
          </w:tblCellMar>
        </w:tblPrEx>
        <w:trPr>
          <w:trHeight w:val="270" w:hRule="atLeast"/>
        </w:trPr>
        <w:tc>
          <w:tcPr>
            <w:tcW w:w="915" w:type="dxa"/>
            <w:tcBorders>
              <w:top w:val="nil"/>
              <w:left w:val="nil"/>
              <w:bottom w:val="nil"/>
              <w:right w:val="nil"/>
            </w:tcBorders>
            <w:shd w:val="clear" w:color="auto" w:fill="auto"/>
            <w:vAlign w:val="center"/>
          </w:tcPr>
          <w:p>
            <w:pPr>
              <w:widowControl/>
              <w:jc w:val="center"/>
              <w:rPr>
                <w:rFonts w:ascii="黑体" w:hAnsi="黑体" w:eastAsia="黑体" w:cs="宋体"/>
                <w:b/>
                <w:bCs/>
                <w:color w:val="auto"/>
                <w:kern w:val="0"/>
                <w:sz w:val="32"/>
                <w:szCs w:val="32"/>
              </w:rPr>
            </w:pPr>
          </w:p>
        </w:tc>
        <w:tc>
          <w:tcPr>
            <w:tcW w:w="1770" w:type="dxa"/>
            <w:tcBorders>
              <w:top w:val="nil"/>
              <w:left w:val="nil"/>
              <w:bottom w:val="nil"/>
              <w:right w:val="nil"/>
            </w:tcBorders>
            <w:shd w:val="clear" w:color="auto" w:fill="auto"/>
            <w:vAlign w:val="center"/>
          </w:tcPr>
          <w:p>
            <w:pPr>
              <w:widowControl/>
              <w:jc w:val="center"/>
              <w:rPr>
                <w:rFonts w:ascii="黑体" w:hAnsi="黑体" w:eastAsia="黑体" w:cs="宋体"/>
                <w:b/>
                <w:bCs/>
                <w:color w:val="auto"/>
                <w:kern w:val="0"/>
                <w:sz w:val="32"/>
                <w:szCs w:val="32"/>
              </w:rPr>
            </w:pPr>
          </w:p>
        </w:tc>
        <w:tc>
          <w:tcPr>
            <w:tcW w:w="1710" w:type="dxa"/>
            <w:tcBorders>
              <w:top w:val="nil"/>
              <w:left w:val="nil"/>
              <w:bottom w:val="nil"/>
              <w:right w:val="nil"/>
            </w:tcBorders>
            <w:shd w:val="clear" w:color="auto" w:fill="auto"/>
            <w:vAlign w:val="center"/>
          </w:tcPr>
          <w:p>
            <w:pPr>
              <w:widowControl/>
              <w:jc w:val="center"/>
              <w:rPr>
                <w:rFonts w:ascii="黑体" w:hAnsi="黑体" w:eastAsia="黑体" w:cs="宋体"/>
                <w:b/>
                <w:bCs/>
                <w:color w:val="auto"/>
                <w:kern w:val="0"/>
                <w:sz w:val="32"/>
                <w:szCs w:val="32"/>
              </w:rPr>
            </w:pPr>
          </w:p>
        </w:tc>
        <w:tc>
          <w:tcPr>
            <w:tcW w:w="2580" w:type="dxa"/>
            <w:tcBorders>
              <w:top w:val="nil"/>
              <w:left w:val="nil"/>
              <w:bottom w:val="nil"/>
              <w:right w:val="nil"/>
            </w:tcBorders>
            <w:shd w:val="clear" w:color="auto" w:fill="auto"/>
            <w:vAlign w:val="center"/>
          </w:tcPr>
          <w:p>
            <w:pPr>
              <w:widowControl/>
              <w:jc w:val="center"/>
              <w:rPr>
                <w:rFonts w:ascii="黑体" w:hAnsi="黑体" w:eastAsia="黑体" w:cs="宋体"/>
                <w:b/>
                <w:bCs/>
                <w:color w:val="auto"/>
                <w:kern w:val="0"/>
                <w:sz w:val="32"/>
                <w:szCs w:val="32"/>
              </w:rPr>
            </w:pPr>
          </w:p>
        </w:tc>
        <w:tc>
          <w:tcPr>
            <w:tcW w:w="1665" w:type="dxa"/>
            <w:tcBorders>
              <w:top w:val="nil"/>
              <w:left w:val="nil"/>
              <w:bottom w:val="nil"/>
              <w:right w:val="nil"/>
            </w:tcBorders>
            <w:shd w:val="clear" w:color="auto" w:fill="auto"/>
            <w:vAlign w:val="center"/>
          </w:tcPr>
          <w:p>
            <w:pPr>
              <w:widowControl/>
              <w:jc w:val="center"/>
              <w:rPr>
                <w:rFonts w:ascii="黑体" w:hAnsi="黑体" w:eastAsia="黑体" w:cs="宋体"/>
                <w:b/>
                <w:bCs/>
                <w:color w:val="auto"/>
                <w:kern w:val="0"/>
                <w:sz w:val="32"/>
                <w:szCs w:val="32"/>
              </w:rPr>
            </w:pPr>
          </w:p>
        </w:tc>
        <w:tc>
          <w:tcPr>
            <w:tcW w:w="990" w:type="dxa"/>
            <w:tcBorders>
              <w:top w:val="nil"/>
              <w:left w:val="nil"/>
              <w:bottom w:val="nil"/>
              <w:right w:val="nil"/>
            </w:tcBorders>
            <w:shd w:val="clear" w:color="auto" w:fill="auto"/>
            <w:noWrap/>
            <w:vAlign w:val="center"/>
          </w:tcPr>
          <w:p>
            <w:pPr>
              <w:widowControl/>
              <w:jc w:val="left"/>
              <w:rPr>
                <w:rFonts w:ascii="华文细黑" w:hAnsi="华文细黑" w:eastAsia="华文细黑" w:cs="宋体"/>
                <w:color w:val="auto"/>
                <w:kern w:val="0"/>
                <w:sz w:val="16"/>
                <w:szCs w:val="16"/>
              </w:rPr>
            </w:pPr>
          </w:p>
        </w:tc>
      </w:tr>
      <w:tr>
        <w:tblPrEx>
          <w:tblCellMar>
            <w:top w:w="0" w:type="dxa"/>
            <w:left w:w="108" w:type="dxa"/>
            <w:bottom w:w="0" w:type="dxa"/>
            <w:right w:w="108" w:type="dxa"/>
          </w:tblCellMar>
        </w:tblPrEx>
        <w:trPr>
          <w:trHeight w:val="330" w:hRule="atLeast"/>
        </w:trPr>
        <w:tc>
          <w:tcPr>
            <w:tcW w:w="439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项目名称</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p>
        </w:tc>
      </w:tr>
      <w:tr>
        <w:tblPrEx>
          <w:tblCellMar>
            <w:top w:w="0" w:type="dxa"/>
            <w:left w:w="108" w:type="dxa"/>
            <w:bottom w:w="0" w:type="dxa"/>
            <w:right w:w="108" w:type="dxa"/>
          </w:tblCellMar>
        </w:tblPrEx>
        <w:trPr>
          <w:trHeight w:val="330" w:hRule="atLeast"/>
        </w:trPr>
        <w:tc>
          <w:tcPr>
            <w:tcW w:w="439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项目级次</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二级项目</w:t>
            </w:r>
          </w:p>
        </w:tc>
      </w:tr>
      <w:tr>
        <w:tblPrEx>
          <w:tblCellMar>
            <w:top w:w="0" w:type="dxa"/>
            <w:left w:w="108" w:type="dxa"/>
            <w:bottom w:w="0" w:type="dxa"/>
            <w:right w:w="108" w:type="dxa"/>
          </w:tblCellMar>
        </w:tblPrEx>
        <w:trPr>
          <w:trHeight w:val="330" w:hRule="atLeast"/>
        </w:trPr>
        <w:tc>
          <w:tcPr>
            <w:tcW w:w="439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主管部门及编码</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hint="default" w:ascii="华文细黑" w:hAnsi="华文细黑" w:eastAsia="华文细黑" w:cs="宋体"/>
                <w:color w:val="auto"/>
                <w:kern w:val="0"/>
                <w:sz w:val="16"/>
                <w:szCs w:val="16"/>
                <w:lang w:val="en-US" w:eastAsia="zh-CN"/>
              </w:rPr>
            </w:pPr>
            <w:r>
              <w:rPr>
                <w:rFonts w:hint="eastAsia" w:ascii="华文细黑" w:hAnsi="华文细黑" w:eastAsia="华文细黑" w:cs="宋体"/>
                <w:color w:val="auto"/>
                <w:kern w:val="0"/>
                <w:sz w:val="16"/>
                <w:szCs w:val="16"/>
                <w:lang w:eastAsia="zh-CN"/>
              </w:rPr>
              <w:t>双辽市妇女联合会</w:t>
            </w:r>
            <w:r>
              <w:rPr>
                <w:rFonts w:hint="eastAsia" w:ascii="华文细黑" w:hAnsi="华文细黑" w:eastAsia="华文细黑" w:cs="宋体"/>
                <w:color w:val="auto"/>
                <w:kern w:val="0"/>
                <w:sz w:val="16"/>
                <w:szCs w:val="16"/>
                <w:lang w:val="en-US" w:eastAsia="zh-CN"/>
              </w:rPr>
              <w:t>-323001</w:t>
            </w:r>
          </w:p>
        </w:tc>
      </w:tr>
      <w:tr>
        <w:tblPrEx>
          <w:tblCellMar>
            <w:top w:w="0" w:type="dxa"/>
            <w:left w:w="108" w:type="dxa"/>
            <w:bottom w:w="0" w:type="dxa"/>
            <w:right w:w="108" w:type="dxa"/>
          </w:tblCellMar>
        </w:tblPrEx>
        <w:trPr>
          <w:trHeight w:val="330" w:hRule="atLeast"/>
        </w:trPr>
        <w:tc>
          <w:tcPr>
            <w:tcW w:w="9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项目资金(万元）</w:t>
            </w:r>
          </w:p>
        </w:tc>
        <w:tc>
          <w:tcPr>
            <w:tcW w:w="34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年度资金总额</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hint="default" w:ascii="华文细黑" w:hAnsi="华文细黑" w:eastAsia="华文细黑" w:cs="宋体"/>
                <w:color w:val="auto"/>
                <w:kern w:val="0"/>
                <w:sz w:val="16"/>
                <w:szCs w:val="16"/>
                <w:lang w:val="en-US" w:eastAsia="zh-CN"/>
              </w:rPr>
            </w:pPr>
            <w:r>
              <w:rPr>
                <w:rFonts w:hint="eastAsia" w:ascii="华文细黑" w:hAnsi="华文细黑" w:eastAsia="华文细黑" w:cs="宋体"/>
                <w:color w:val="auto"/>
                <w:kern w:val="0"/>
                <w:sz w:val="16"/>
                <w:szCs w:val="16"/>
                <w:lang w:val="en-US" w:eastAsia="zh-CN"/>
              </w:rPr>
              <w:t>0.00</w:t>
            </w:r>
          </w:p>
        </w:tc>
      </w:tr>
      <w:tr>
        <w:tblPrEx>
          <w:tblCellMar>
            <w:top w:w="0" w:type="dxa"/>
            <w:left w:w="108" w:type="dxa"/>
            <w:bottom w:w="0" w:type="dxa"/>
            <w:right w:w="108" w:type="dxa"/>
          </w:tblCellMar>
        </w:tblPrEx>
        <w:trPr>
          <w:trHeight w:val="330" w:hRule="atLeast"/>
        </w:trPr>
        <w:tc>
          <w:tcPr>
            <w:tcW w:w="9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细黑" w:hAnsi="华文细黑" w:eastAsia="华文细黑" w:cs="宋体"/>
                <w:color w:val="auto"/>
                <w:kern w:val="0"/>
                <w:sz w:val="16"/>
                <w:szCs w:val="16"/>
              </w:rPr>
            </w:pPr>
          </w:p>
        </w:tc>
        <w:tc>
          <w:tcPr>
            <w:tcW w:w="34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其中：财政拨款</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p>
        </w:tc>
      </w:tr>
      <w:tr>
        <w:tblPrEx>
          <w:tblCellMar>
            <w:top w:w="0" w:type="dxa"/>
            <w:left w:w="108" w:type="dxa"/>
            <w:bottom w:w="0" w:type="dxa"/>
            <w:right w:w="108" w:type="dxa"/>
          </w:tblCellMar>
        </w:tblPrEx>
        <w:trPr>
          <w:trHeight w:val="330" w:hRule="atLeast"/>
        </w:trPr>
        <w:tc>
          <w:tcPr>
            <w:tcW w:w="9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细黑" w:hAnsi="华文细黑" w:eastAsia="华文细黑" w:cs="宋体"/>
                <w:color w:val="auto"/>
                <w:kern w:val="0"/>
                <w:sz w:val="16"/>
                <w:szCs w:val="16"/>
              </w:rPr>
            </w:pPr>
          </w:p>
        </w:tc>
        <w:tc>
          <w:tcPr>
            <w:tcW w:w="3480"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 xml:space="preserve">      其他资金</w:t>
            </w:r>
          </w:p>
        </w:tc>
        <w:tc>
          <w:tcPr>
            <w:tcW w:w="5235"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p>
        </w:tc>
      </w:tr>
      <w:tr>
        <w:tblPrEx>
          <w:tblCellMar>
            <w:top w:w="0" w:type="dxa"/>
            <w:left w:w="108" w:type="dxa"/>
            <w:bottom w:w="0" w:type="dxa"/>
            <w:right w:w="108" w:type="dxa"/>
          </w:tblCellMar>
        </w:tblPrEx>
        <w:trPr>
          <w:trHeight w:val="660" w:hRule="atLeast"/>
        </w:trPr>
        <w:tc>
          <w:tcPr>
            <w:tcW w:w="9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年度绩效</w:t>
            </w:r>
          </w:p>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目标</w:t>
            </w:r>
          </w:p>
        </w:tc>
        <w:tc>
          <w:tcPr>
            <w:tcW w:w="871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华文细黑" w:hAnsi="华文细黑" w:eastAsia="华文细黑" w:cs="宋体"/>
                <w:color w:val="auto"/>
                <w:kern w:val="0"/>
                <w:sz w:val="16"/>
                <w:szCs w:val="16"/>
              </w:rPr>
            </w:pPr>
          </w:p>
        </w:tc>
      </w:tr>
      <w:tr>
        <w:tblPrEx>
          <w:tblCellMar>
            <w:top w:w="0" w:type="dxa"/>
            <w:left w:w="108" w:type="dxa"/>
            <w:bottom w:w="0" w:type="dxa"/>
            <w:right w:w="108" w:type="dxa"/>
          </w:tblCellMar>
        </w:tblPrEx>
        <w:trPr>
          <w:trHeight w:val="330" w:hRule="atLeast"/>
        </w:trPr>
        <w:tc>
          <w:tcPr>
            <w:tcW w:w="91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绩效指标</w:t>
            </w: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一级指标</w:t>
            </w: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二级指标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三级指标</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指标值</w:t>
            </w: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权重</w:t>
            </w:r>
          </w:p>
        </w:tc>
      </w:tr>
      <w:tr>
        <w:tblPrEx>
          <w:tblCellMar>
            <w:top w:w="0" w:type="dxa"/>
            <w:left w:w="108" w:type="dxa"/>
            <w:bottom w:w="0" w:type="dxa"/>
            <w:right w:w="108" w:type="dxa"/>
          </w:tblCellMar>
        </w:tblPrEx>
        <w:trPr>
          <w:trHeight w:val="330" w:hRule="atLeast"/>
        </w:trPr>
        <w:tc>
          <w:tcPr>
            <w:tcW w:w="9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细黑" w:hAnsi="华文细黑" w:eastAsia="华文细黑" w:cs="宋体"/>
                <w:color w:val="auto"/>
                <w:kern w:val="0"/>
                <w:sz w:val="16"/>
                <w:szCs w:val="16"/>
              </w:rPr>
            </w:pP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成本指标</w:t>
            </w: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经济成本指标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经济成本指标</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p>
        </w:tc>
      </w:tr>
      <w:tr>
        <w:tblPrEx>
          <w:tblCellMar>
            <w:top w:w="0" w:type="dxa"/>
            <w:left w:w="108" w:type="dxa"/>
            <w:bottom w:w="0" w:type="dxa"/>
            <w:right w:w="108" w:type="dxa"/>
          </w:tblCellMar>
        </w:tblPrEx>
        <w:trPr>
          <w:trHeight w:val="330" w:hRule="atLeast"/>
        </w:trPr>
        <w:tc>
          <w:tcPr>
            <w:tcW w:w="9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细黑" w:hAnsi="华文细黑" w:eastAsia="华文细黑" w:cs="宋体"/>
                <w:color w:val="auto"/>
                <w:kern w:val="0"/>
                <w:sz w:val="16"/>
                <w:szCs w:val="16"/>
              </w:rPr>
            </w:pP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产出指标</w:t>
            </w: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时效指标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时效指标</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p>
        </w:tc>
      </w:tr>
      <w:tr>
        <w:tblPrEx>
          <w:tblCellMar>
            <w:top w:w="0" w:type="dxa"/>
            <w:left w:w="108" w:type="dxa"/>
            <w:bottom w:w="0" w:type="dxa"/>
            <w:right w:w="108" w:type="dxa"/>
          </w:tblCellMar>
        </w:tblPrEx>
        <w:trPr>
          <w:trHeight w:val="330" w:hRule="atLeast"/>
        </w:trPr>
        <w:tc>
          <w:tcPr>
            <w:tcW w:w="9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细黑" w:hAnsi="华文细黑" w:eastAsia="华文细黑" w:cs="宋体"/>
                <w:color w:val="auto"/>
                <w:kern w:val="0"/>
                <w:sz w:val="16"/>
                <w:szCs w:val="16"/>
              </w:rPr>
            </w:pP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效益指标</w:t>
            </w: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社会效益指标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社会效益指标</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p>
        </w:tc>
      </w:tr>
      <w:tr>
        <w:tblPrEx>
          <w:tblCellMar>
            <w:top w:w="0" w:type="dxa"/>
            <w:left w:w="108" w:type="dxa"/>
            <w:bottom w:w="0" w:type="dxa"/>
            <w:right w:w="108" w:type="dxa"/>
          </w:tblCellMar>
        </w:tblPrEx>
        <w:trPr>
          <w:trHeight w:val="330" w:hRule="atLeast"/>
        </w:trPr>
        <w:tc>
          <w:tcPr>
            <w:tcW w:w="91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华文细黑" w:hAnsi="华文细黑" w:eastAsia="华文细黑" w:cs="宋体"/>
                <w:color w:val="auto"/>
                <w:kern w:val="0"/>
                <w:sz w:val="16"/>
                <w:szCs w:val="16"/>
              </w:rPr>
            </w:pPr>
          </w:p>
        </w:tc>
        <w:tc>
          <w:tcPr>
            <w:tcW w:w="17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满意度指标</w:t>
            </w:r>
          </w:p>
        </w:tc>
        <w:tc>
          <w:tcPr>
            <w:tcW w:w="17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服务对象满意度指标</w:t>
            </w:r>
          </w:p>
        </w:tc>
        <w:tc>
          <w:tcPr>
            <w:tcW w:w="258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满意度</w:t>
            </w:r>
          </w:p>
        </w:tc>
        <w:tc>
          <w:tcPr>
            <w:tcW w:w="16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p>
        </w:tc>
        <w:tc>
          <w:tcPr>
            <w:tcW w:w="990"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华文细黑" w:hAnsi="华文细黑" w:eastAsia="华文细黑" w:cs="宋体"/>
                <w:color w:val="auto"/>
                <w:kern w:val="0"/>
                <w:sz w:val="16"/>
                <w:szCs w:val="16"/>
              </w:rPr>
            </w:pPr>
          </w:p>
        </w:tc>
      </w:tr>
      <w:tr>
        <w:tblPrEx>
          <w:tblCellMar>
            <w:top w:w="0" w:type="dxa"/>
            <w:left w:w="108" w:type="dxa"/>
            <w:bottom w:w="0" w:type="dxa"/>
            <w:right w:w="108" w:type="dxa"/>
          </w:tblCellMar>
        </w:tblPrEx>
        <w:trPr>
          <w:trHeight w:val="460" w:hRule="atLeast"/>
        </w:trPr>
        <w:tc>
          <w:tcPr>
            <w:tcW w:w="9630" w:type="dxa"/>
            <w:gridSpan w:val="6"/>
            <w:tcBorders>
              <w:top w:val="nil"/>
              <w:left w:val="nil"/>
              <w:bottom w:val="nil"/>
              <w:right w:val="nil"/>
            </w:tcBorders>
            <w:shd w:val="clear" w:color="auto" w:fill="auto"/>
            <w:noWrap/>
            <w:vAlign w:val="center"/>
          </w:tcPr>
          <w:p>
            <w:pPr>
              <w:widowControl/>
              <w:jc w:val="center"/>
              <w:rPr>
                <w:rFonts w:ascii="华文细黑" w:hAnsi="华文细黑" w:eastAsia="华文细黑" w:cs="宋体"/>
                <w:color w:val="auto"/>
                <w:kern w:val="0"/>
                <w:sz w:val="16"/>
                <w:szCs w:val="16"/>
              </w:rPr>
            </w:pPr>
            <w:r>
              <w:rPr>
                <w:rFonts w:hint="eastAsia" w:ascii="华文细黑" w:hAnsi="华文细黑" w:eastAsia="华文细黑" w:cs="宋体"/>
                <w:color w:val="auto"/>
                <w:kern w:val="0"/>
                <w:sz w:val="16"/>
                <w:szCs w:val="16"/>
              </w:rPr>
              <w:t>“本部门无项目支出”</w:t>
            </w:r>
          </w:p>
        </w:tc>
      </w:tr>
    </w:tbl>
    <w:p>
      <w:pPr>
        <w:rPr>
          <w:rFonts w:asciiTheme="minorEastAsia" w:hAnsiTheme="minorEastAsia"/>
          <w:b/>
          <w:color w:val="auto"/>
          <w:sz w:val="48"/>
          <w:szCs w:val="48"/>
        </w:rPr>
        <w:sectPr>
          <w:pgSz w:w="11906" w:h="16838"/>
          <w:pgMar w:top="1440" w:right="1800" w:bottom="1440" w:left="1800" w:header="851" w:footer="992" w:gutter="0"/>
          <w:cols w:space="425" w:num="1"/>
          <w:docGrid w:type="lines" w:linePitch="312" w:charSpace="0"/>
        </w:sectPr>
      </w:pPr>
    </w:p>
    <w:p>
      <w:pPr>
        <w:rPr>
          <w:rFonts w:asciiTheme="minorEastAsia" w:hAnsiTheme="minorEastAsia"/>
          <w:b/>
          <w:color w:val="auto"/>
          <w:sz w:val="48"/>
          <w:szCs w:val="48"/>
        </w:rPr>
      </w:pPr>
      <w:r>
        <w:rPr>
          <w:rFonts w:asciiTheme="minorEastAsia" w:hAnsiTheme="minorEastAsia"/>
          <w:b/>
          <w:color w:val="auto"/>
          <w:sz w:val="48"/>
          <w:szCs w:val="48"/>
        </w:rPr>
        <w:object>
          <v:shape id="_x0000_i1033" o:spt="75" type="#_x0000_t75" style="height:655.5pt;width:408pt;" o:ole="t" filled="f" o:preferrelative="t" stroked="f" coordsize="21600,21600">
            <v:path/>
            <v:fill on="f" focussize="0,0"/>
            <v:stroke on="f"/>
            <v:imagedata r:id="rId22" o:title=""/>
            <o:lock v:ext="edit" aspectratio="t"/>
            <w10:wrap type="none"/>
            <w10:anchorlock/>
          </v:shape>
          <o:OLEObject Type="Embed" ProgID="Excel.Sheet.12" ShapeID="_x0000_i1033" DrawAspect="Content" ObjectID="_1468075733" r:id="rId21">
            <o:LockedField>false</o:LockedField>
          </o:OLEObject>
        </w:objec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004454"/>
    </w:sdtPr>
    <w:sdtContent>
      <w:p>
        <w:pPr>
          <w:pStyle w:val="4"/>
          <w:jc w:val="center"/>
        </w:pPr>
        <w:r>
          <w:fldChar w:fldCharType="begin"/>
        </w:r>
        <w:r>
          <w:instrText xml:space="preserve"> PAGE   \* MERGEFORMAT </w:instrText>
        </w:r>
        <w:r>
          <w:fldChar w:fldCharType="separate"/>
        </w:r>
        <w:r>
          <w:rPr>
            <w:lang w:val="zh-CN"/>
          </w:rPr>
          <w:t>26</w:t>
        </w:r>
        <w:r>
          <w:rPr>
            <w:lang w:val="zh-CN"/>
          </w:rPr>
          <w:fldChar w:fldCharType="end"/>
        </w:r>
      </w:p>
    </w:sdtContent>
  </w:sdt>
  <w:p>
    <w:pPr>
      <w:pStyle w:val="4"/>
    </w:pPr>
  </w:p>
  <w:p/>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kYTQ5NWVmMmJjZWFjNWVhYzMyNzFiMjlmNjM2NTUifQ=="/>
    <w:docVar w:name="KSO_WPS_MARK_KEY" w:val="294445d9-21c5-4773-9ab3-981d14f39373"/>
  </w:docVars>
  <w:rsids>
    <w:rsidRoot w:val="000F4815"/>
    <w:rsid w:val="000204C6"/>
    <w:rsid w:val="00021665"/>
    <w:rsid w:val="00044A5F"/>
    <w:rsid w:val="00057A77"/>
    <w:rsid w:val="00081EF4"/>
    <w:rsid w:val="000A18DA"/>
    <w:rsid w:val="000F11EE"/>
    <w:rsid w:val="000F4815"/>
    <w:rsid w:val="000F4EFC"/>
    <w:rsid w:val="001318A0"/>
    <w:rsid w:val="00147688"/>
    <w:rsid w:val="00173EFE"/>
    <w:rsid w:val="001830C9"/>
    <w:rsid w:val="001A26BE"/>
    <w:rsid w:val="001B384D"/>
    <w:rsid w:val="001B693D"/>
    <w:rsid w:val="001D597D"/>
    <w:rsid w:val="00213ECA"/>
    <w:rsid w:val="00216836"/>
    <w:rsid w:val="00227CDD"/>
    <w:rsid w:val="002459D5"/>
    <w:rsid w:val="00250698"/>
    <w:rsid w:val="002517C7"/>
    <w:rsid w:val="00283B6A"/>
    <w:rsid w:val="00294843"/>
    <w:rsid w:val="002A0051"/>
    <w:rsid w:val="002A1D93"/>
    <w:rsid w:val="002C3686"/>
    <w:rsid w:val="002F0599"/>
    <w:rsid w:val="002F5249"/>
    <w:rsid w:val="002F7B6C"/>
    <w:rsid w:val="0032755D"/>
    <w:rsid w:val="00332D92"/>
    <w:rsid w:val="003C35DF"/>
    <w:rsid w:val="003D2D91"/>
    <w:rsid w:val="003F6D1A"/>
    <w:rsid w:val="004430B7"/>
    <w:rsid w:val="00444C2C"/>
    <w:rsid w:val="004C7416"/>
    <w:rsid w:val="00543DE0"/>
    <w:rsid w:val="00554F2D"/>
    <w:rsid w:val="005E42DD"/>
    <w:rsid w:val="00663C50"/>
    <w:rsid w:val="00665229"/>
    <w:rsid w:val="007121EE"/>
    <w:rsid w:val="007402DA"/>
    <w:rsid w:val="00740D88"/>
    <w:rsid w:val="00750432"/>
    <w:rsid w:val="007601F4"/>
    <w:rsid w:val="007B1734"/>
    <w:rsid w:val="007D796F"/>
    <w:rsid w:val="008237CC"/>
    <w:rsid w:val="00830313"/>
    <w:rsid w:val="00872364"/>
    <w:rsid w:val="00910A04"/>
    <w:rsid w:val="00937777"/>
    <w:rsid w:val="009B5BB4"/>
    <w:rsid w:val="009C0A23"/>
    <w:rsid w:val="009F7490"/>
    <w:rsid w:val="00A0652C"/>
    <w:rsid w:val="00A45956"/>
    <w:rsid w:val="00A75CF6"/>
    <w:rsid w:val="00AA6A1D"/>
    <w:rsid w:val="00AC1EAA"/>
    <w:rsid w:val="00B32B05"/>
    <w:rsid w:val="00B53888"/>
    <w:rsid w:val="00B76AA5"/>
    <w:rsid w:val="00BB25DB"/>
    <w:rsid w:val="00BF6AD6"/>
    <w:rsid w:val="00C666CC"/>
    <w:rsid w:val="00CD3A02"/>
    <w:rsid w:val="00CE7711"/>
    <w:rsid w:val="00CF4994"/>
    <w:rsid w:val="00D401F5"/>
    <w:rsid w:val="00D54091"/>
    <w:rsid w:val="00D5583B"/>
    <w:rsid w:val="00D92CD5"/>
    <w:rsid w:val="00D97274"/>
    <w:rsid w:val="00DA1BF0"/>
    <w:rsid w:val="00DA50CD"/>
    <w:rsid w:val="00DA7CC0"/>
    <w:rsid w:val="00DB71C7"/>
    <w:rsid w:val="00DF11EB"/>
    <w:rsid w:val="00E07B43"/>
    <w:rsid w:val="00E2432A"/>
    <w:rsid w:val="00E45A6F"/>
    <w:rsid w:val="00E566A3"/>
    <w:rsid w:val="00EA0E1B"/>
    <w:rsid w:val="00EA11AF"/>
    <w:rsid w:val="00EC1501"/>
    <w:rsid w:val="00EC7C57"/>
    <w:rsid w:val="00EE62AB"/>
    <w:rsid w:val="00F16485"/>
    <w:rsid w:val="00F22CEC"/>
    <w:rsid w:val="00F2412A"/>
    <w:rsid w:val="00F8791B"/>
    <w:rsid w:val="00FA5A3A"/>
    <w:rsid w:val="00FF6BB4"/>
    <w:rsid w:val="0DDE3CE4"/>
    <w:rsid w:val="147E0BEF"/>
    <w:rsid w:val="23010806"/>
    <w:rsid w:val="264F47A1"/>
    <w:rsid w:val="27810993"/>
    <w:rsid w:val="2A3E100D"/>
    <w:rsid w:val="2D524FED"/>
    <w:rsid w:val="2FAB17AC"/>
    <w:rsid w:val="2FDE1E35"/>
    <w:rsid w:val="35A85D44"/>
    <w:rsid w:val="49F374CC"/>
    <w:rsid w:val="4C9E419C"/>
    <w:rsid w:val="5DBB1429"/>
    <w:rsid w:val="5EC74F38"/>
    <w:rsid w:val="60310F29"/>
    <w:rsid w:val="653A1FD7"/>
    <w:rsid w:val="669A52C3"/>
    <w:rsid w:val="69A62B80"/>
    <w:rsid w:val="72C506BE"/>
    <w:rsid w:val="745A453A"/>
    <w:rsid w:val="771274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autoRedefine/>
    <w:qFormat/>
    <w:uiPriority w:val="0"/>
    <w:rPr>
      <w:rFonts w:ascii="Calibri" w:hAnsi="Calibri" w:eastAsia="宋体" w:cs="Times New Roman"/>
      <w:szCs w:val="24"/>
    </w:rPr>
  </w:style>
  <w:style w:type="paragraph" w:styleId="3">
    <w:name w:val="Balloon Text"/>
    <w:basedOn w:val="1"/>
    <w:link w:val="10"/>
    <w:autoRedefine/>
    <w:semiHidden/>
    <w:unhideWhenUsed/>
    <w:qFormat/>
    <w:uiPriority w:val="99"/>
    <w:rPr>
      <w:sz w:val="18"/>
      <w:szCs w:val="18"/>
    </w:rPr>
  </w:style>
  <w:style w:type="paragraph" w:styleId="4">
    <w:name w:val="footer"/>
    <w:basedOn w:val="1"/>
    <w:link w:val="9"/>
    <w:autoRedefine/>
    <w:unhideWhenUsed/>
    <w:qFormat/>
    <w:uiPriority w:val="99"/>
    <w:pPr>
      <w:tabs>
        <w:tab w:val="center" w:pos="4153"/>
        <w:tab w:val="right" w:pos="8306"/>
      </w:tabs>
      <w:snapToGrid w:val="0"/>
      <w:jc w:val="left"/>
    </w:pPr>
    <w:rPr>
      <w:sz w:val="18"/>
      <w:szCs w:val="18"/>
    </w:rPr>
  </w:style>
  <w:style w:type="paragraph" w:styleId="5">
    <w:name w:val="header"/>
    <w:basedOn w:val="1"/>
    <w:link w:val="8"/>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autoRedefine/>
    <w:semiHidden/>
    <w:qFormat/>
    <w:uiPriority w:val="99"/>
    <w:rPr>
      <w:sz w:val="18"/>
      <w:szCs w:val="18"/>
    </w:rPr>
  </w:style>
  <w:style w:type="character" w:customStyle="1" w:styleId="9">
    <w:name w:val="页脚 Char"/>
    <w:basedOn w:val="7"/>
    <w:link w:val="4"/>
    <w:autoRedefine/>
    <w:qFormat/>
    <w:uiPriority w:val="99"/>
    <w:rPr>
      <w:sz w:val="18"/>
      <w:szCs w:val="18"/>
    </w:rPr>
  </w:style>
  <w:style w:type="character" w:customStyle="1" w:styleId="10">
    <w:name w:val="批注框文本 Char"/>
    <w:basedOn w:val="7"/>
    <w:link w:val="3"/>
    <w:autoRedefine/>
    <w:semiHidden/>
    <w:qFormat/>
    <w:uiPriority w:val="99"/>
    <w:rPr>
      <w:kern w:val="2"/>
      <w:sz w:val="18"/>
      <w:szCs w:val="18"/>
    </w:rPr>
  </w:style>
  <w:style w:type="character" w:customStyle="1" w:styleId="11">
    <w:name w:val="正文文本 Char"/>
    <w:basedOn w:val="7"/>
    <w:link w:val="2"/>
    <w:autoRedefine/>
    <w:qFormat/>
    <w:uiPriority w:val="0"/>
    <w:rPr>
      <w:rFonts w:ascii="Calibri" w:hAnsi="Calibri" w:eastAsia="宋体" w:cs="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package" Target="embeddings/Workbook3.xlsx"/><Relationship Id="rId8" Type="http://schemas.openxmlformats.org/officeDocument/2006/relationships/image" Target="media/image2.emf"/><Relationship Id="rId7" Type="http://schemas.openxmlformats.org/officeDocument/2006/relationships/package" Target="embeddings/Workbook2.xlsx"/><Relationship Id="rId6" Type="http://schemas.openxmlformats.org/officeDocument/2006/relationships/image" Target="media/image1.emf"/><Relationship Id="rId5" Type="http://schemas.openxmlformats.org/officeDocument/2006/relationships/package" Target="embeddings/Workbook1.xlsx"/><Relationship Id="rId4" Type="http://schemas.openxmlformats.org/officeDocument/2006/relationships/theme" Target="theme/theme1.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image" Target="media/image9.emf"/><Relationship Id="rId21" Type="http://schemas.openxmlformats.org/officeDocument/2006/relationships/oleObject" Target="embeddings/oleObject1.bin"/><Relationship Id="rId20" Type="http://schemas.openxmlformats.org/officeDocument/2006/relationships/image" Target="media/image8.emf"/><Relationship Id="rId2" Type="http://schemas.openxmlformats.org/officeDocument/2006/relationships/settings" Target="settings.xml"/><Relationship Id="rId19" Type="http://schemas.openxmlformats.org/officeDocument/2006/relationships/package" Target="embeddings/Workbook8.xlsx"/><Relationship Id="rId18" Type="http://schemas.openxmlformats.org/officeDocument/2006/relationships/image" Target="media/image7.emf"/><Relationship Id="rId17" Type="http://schemas.openxmlformats.org/officeDocument/2006/relationships/package" Target="embeddings/Workbook7.xlsx"/><Relationship Id="rId16" Type="http://schemas.openxmlformats.org/officeDocument/2006/relationships/image" Target="media/image6.emf"/><Relationship Id="rId15" Type="http://schemas.openxmlformats.org/officeDocument/2006/relationships/package" Target="embeddings/Workbook6.xlsx"/><Relationship Id="rId14" Type="http://schemas.openxmlformats.org/officeDocument/2006/relationships/image" Target="media/image5.emf"/><Relationship Id="rId13" Type="http://schemas.openxmlformats.org/officeDocument/2006/relationships/package" Target="embeddings/Workbook5.xlsx"/><Relationship Id="rId12" Type="http://schemas.openxmlformats.org/officeDocument/2006/relationships/image" Target="media/image4.emf"/><Relationship Id="rId11" Type="http://schemas.openxmlformats.org/officeDocument/2006/relationships/package" Target="embeddings/Workbook4.xlsx"/><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26</Pages>
  <Words>6138</Words>
  <Characters>6362</Characters>
  <Lines>48</Lines>
  <Paragraphs>13</Paragraphs>
  <TotalTime>21</TotalTime>
  <ScaleCrop>false</ScaleCrop>
  <LinksUpToDate>false</LinksUpToDate>
  <CharactersWithSpaces>6381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2024-01-15T06:22:00Z</dcterms:created>
  <dc:creator>Windows 用户</dc:creator>
  <cp:lastModifiedBy>熙清扬</cp:lastModifiedBy>
  <dcterms:modified xsi:type="dcterms:W3CDTF">2024-06-17T08:22:42Z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AE05866CCB6E4B02B94DBD22FBC3E925_13</vt:lpwstr>
  </property>
</Properties>
</file>