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91966">
      <w:pPr>
        <w:jc w:val="center"/>
        <w:rPr>
          <w:rFonts w:ascii="Times New Roman" w:hAnsi="Times New Roman"/>
          <w:color w:val="auto"/>
        </w:rPr>
      </w:pPr>
      <w:bookmarkStart w:id="0" w:name="_GoBack"/>
      <w:bookmarkEnd w:id="0"/>
      <w:r>
        <w:rPr>
          <w:rFonts w:ascii="Times New Roman" w:hAnsi="Times New Roman" w:eastAsia="方正小标宋简体"/>
          <w:color w:val="auto"/>
          <w:sz w:val="44"/>
          <w:szCs w:val="44"/>
        </w:rPr>
        <w:t>行政复议决定书</w:t>
      </w:r>
    </w:p>
    <w:p w14:paraId="2C7A540A">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2024</w:t>
      </w:r>
      <w:r>
        <w:rPr>
          <w:rFonts w:eastAsia="仿宋_GB2312"/>
          <w:color w:val="auto"/>
          <w:sz w:val="32"/>
          <w:szCs w:val="32"/>
        </w:rPr>
        <w:t>〕</w:t>
      </w:r>
      <w:r>
        <w:rPr>
          <w:rFonts w:hint="eastAsia" w:eastAsia="仿宋_GB2312"/>
          <w:color w:val="auto"/>
          <w:sz w:val="32"/>
          <w:szCs w:val="32"/>
          <w:lang w:val="en-US" w:eastAsia="zh-CN"/>
        </w:rPr>
        <w:t>18</w:t>
      </w:r>
      <w:r>
        <w:rPr>
          <w:rFonts w:eastAsia="仿宋_GB2312"/>
          <w:color w:val="auto"/>
          <w:sz w:val="32"/>
          <w:szCs w:val="32"/>
        </w:rPr>
        <w:t>号</w:t>
      </w:r>
    </w:p>
    <w:p w14:paraId="1B311B9D">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eastAsia="仿宋_GB2312"/>
          <w:color w:val="auto"/>
          <w:spacing w:val="-10"/>
          <w:sz w:val="32"/>
          <w:szCs w:val="32"/>
          <w:u w:val="none"/>
        </w:rPr>
      </w:pPr>
    </w:p>
    <w:p w14:paraId="154AE618">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hint="default" w:eastAsia="仿宋_GB2312"/>
          <w:color w:val="auto"/>
          <w:sz w:val="32"/>
          <w:szCs w:val="32"/>
          <w:u w:val="none"/>
          <w:lang w:val="en-US"/>
        </w:rPr>
      </w:pPr>
      <w:r>
        <w:rPr>
          <w:rFonts w:eastAsia="仿宋_GB2312"/>
          <w:color w:val="auto"/>
          <w:spacing w:val="-10"/>
          <w:sz w:val="32"/>
          <w:szCs w:val="32"/>
          <w:u w:val="none"/>
        </w:rPr>
        <w:t>申请人：</w:t>
      </w:r>
      <w:r>
        <w:rPr>
          <w:rFonts w:hint="eastAsia" w:eastAsia="仿宋_GB2312"/>
          <w:color w:val="auto"/>
          <w:spacing w:val="-10"/>
          <w:sz w:val="32"/>
          <w:szCs w:val="32"/>
          <w:u w:val="none"/>
          <w:lang w:val="en-US" w:eastAsia="zh-CN"/>
        </w:rPr>
        <w:t>代**</w:t>
      </w:r>
      <w:r>
        <w:rPr>
          <w:rFonts w:hint="eastAsia" w:eastAsia="仿宋_GB2312"/>
          <w:color w:val="auto"/>
          <w:sz w:val="32"/>
          <w:szCs w:val="32"/>
          <w:u w:val="none"/>
        </w:rPr>
        <w:t>，性别：</w:t>
      </w:r>
      <w:r>
        <w:rPr>
          <w:rFonts w:hint="eastAsia" w:eastAsia="仿宋_GB2312"/>
          <w:color w:val="auto"/>
          <w:sz w:val="32"/>
          <w:szCs w:val="32"/>
          <w:u w:val="none"/>
          <w:lang w:val="en-US" w:eastAsia="zh-CN"/>
        </w:rPr>
        <w:t>男</w:t>
      </w:r>
      <w:r>
        <w:rPr>
          <w:rFonts w:hint="eastAsia" w:eastAsia="仿宋_GB2312"/>
          <w:color w:val="auto"/>
          <w:sz w:val="32"/>
          <w:szCs w:val="32"/>
          <w:u w:val="none"/>
        </w:rPr>
        <w:t>，出生年月</w:t>
      </w:r>
      <w:r>
        <w:rPr>
          <w:rFonts w:hint="eastAsia" w:eastAsia="仿宋_GB2312"/>
          <w:color w:val="auto"/>
          <w:sz w:val="32"/>
          <w:szCs w:val="32"/>
          <w:u w:val="none"/>
          <w:lang w:eastAsia="zh-CN"/>
        </w:rPr>
        <w:t>：</w:t>
      </w:r>
      <w:r>
        <w:rPr>
          <w:rFonts w:hint="eastAsia" w:eastAsia="仿宋_GB2312"/>
          <w:color w:val="auto"/>
          <w:sz w:val="32"/>
          <w:szCs w:val="32"/>
          <w:u w:val="none"/>
          <w:lang w:val="en-US" w:eastAsia="zh-CN"/>
        </w:rPr>
        <w:t>*****</w:t>
      </w:r>
    </w:p>
    <w:p w14:paraId="4E74B102">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eastAsia="仿宋_GB2312"/>
          <w:color w:val="auto"/>
          <w:sz w:val="32"/>
          <w:szCs w:val="32"/>
          <w:u w:val="none"/>
          <w:lang w:val="en-US" w:eastAsia="zh-CN"/>
        </w:rPr>
      </w:pPr>
      <w:r>
        <w:rPr>
          <w:rFonts w:hint="eastAsia" w:eastAsia="仿宋_GB2312"/>
          <w:color w:val="auto"/>
          <w:sz w:val="32"/>
          <w:szCs w:val="32"/>
          <w:u w:val="none"/>
        </w:rPr>
        <w:t>身份证号码：</w:t>
      </w:r>
      <w:r>
        <w:rPr>
          <w:rFonts w:hint="eastAsia" w:eastAsia="仿宋_GB2312"/>
          <w:color w:val="auto"/>
          <w:sz w:val="32"/>
          <w:szCs w:val="32"/>
          <w:u w:val="none"/>
          <w:lang w:val="en-US" w:eastAsia="zh-CN"/>
        </w:rPr>
        <w:t>*********</w:t>
      </w:r>
      <w:r>
        <w:rPr>
          <w:rFonts w:hint="eastAsia" w:eastAsia="仿宋_GB2312"/>
          <w:color w:val="auto"/>
          <w:sz w:val="32"/>
          <w:szCs w:val="32"/>
          <w:u w:val="none"/>
        </w:rPr>
        <w:t>，</w:t>
      </w:r>
    </w:p>
    <w:p w14:paraId="70CD39E4">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default" w:ascii="仿宋_GB2312" w:hAnsi="仿宋_GB2312" w:eastAsia="仿宋_GB2312" w:cs="仿宋_GB2312"/>
          <w:color w:val="auto"/>
          <w:sz w:val="32"/>
          <w:szCs w:val="32"/>
          <w:u w:val="none"/>
          <w:lang w:val="en-US" w:eastAsia="zh-CN"/>
        </w:rPr>
      </w:pPr>
      <w:r>
        <w:rPr>
          <w:rFonts w:hint="eastAsia" w:eastAsia="仿宋_GB2312"/>
          <w:color w:val="auto"/>
          <w:sz w:val="32"/>
          <w:szCs w:val="32"/>
          <w:u w:val="none"/>
        </w:rPr>
        <w:t>住址（联系地址）：</w:t>
      </w:r>
      <w:r>
        <w:rPr>
          <w:rFonts w:hint="eastAsia" w:eastAsia="仿宋_GB2312"/>
          <w:color w:val="auto"/>
          <w:sz w:val="32"/>
          <w:szCs w:val="32"/>
          <w:u w:val="none"/>
          <w:lang w:eastAsia="zh-CN"/>
        </w:rPr>
        <w:t>双辽市</w:t>
      </w:r>
      <w:r>
        <w:rPr>
          <w:rFonts w:hint="eastAsia" w:eastAsia="仿宋_GB2312"/>
          <w:color w:val="auto"/>
          <w:sz w:val="32"/>
          <w:szCs w:val="32"/>
          <w:u w:val="none"/>
          <w:lang w:val="en-US" w:eastAsia="zh-CN"/>
        </w:rPr>
        <w:t>老站前******，</w:t>
      </w:r>
    </w:p>
    <w:p w14:paraId="70436863">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color w:val="auto"/>
          <w:sz w:val="32"/>
          <w:szCs w:val="32"/>
          <w:u w:val="none"/>
          <w:lang w:val="en-US" w:eastAsia="zh-CN"/>
        </w:rPr>
        <w:t>双辽市自然资源局，</w:t>
      </w:r>
    </w:p>
    <w:p w14:paraId="2399F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u w:val="none"/>
          <w:lang w:val="en-US"/>
        </w:rPr>
      </w:pPr>
      <w:r>
        <w:rPr>
          <w:rFonts w:hint="eastAsia" w:ascii="仿宋_GB2312" w:hAnsi="仿宋_GB2312" w:eastAsia="仿宋_GB2312" w:cs="仿宋_GB2312"/>
          <w:color w:val="auto"/>
          <w:sz w:val="32"/>
          <w:szCs w:val="32"/>
          <w:u w:val="none"/>
        </w:rPr>
        <w:t>住所地：</w:t>
      </w:r>
      <w:r>
        <w:rPr>
          <w:rFonts w:hint="eastAsia" w:ascii="仿宋_GB2312" w:hAnsi="仿宋_GB2312" w:eastAsia="仿宋_GB2312" w:cs="仿宋_GB2312"/>
          <w:color w:val="auto"/>
          <w:sz w:val="32"/>
          <w:szCs w:val="32"/>
          <w:u w:val="none"/>
          <w:lang w:eastAsia="zh-CN"/>
        </w:rPr>
        <w:t>双辽市南兴路与白市街交叉口南</w:t>
      </w:r>
      <w:r>
        <w:rPr>
          <w:rFonts w:hint="default"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lang w:val="en-US" w:eastAsia="zh-CN"/>
        </w:rPr>
        <w:t>米</w:t>
      </w:r>
      <w:r>
        <w:rPr>
          <w:rFonts w:hint="eastAsia" w:ascii="仿宋_GB2312" w:hAnsi="仿宋_GB2312" w:eastAsia="仿宋_GB2312" w:cs="仿宋_GB2312"/>
          <w:b w:val="0"/>
          <w:bCs w:val="0"/>
          <w:color w:val="auto"/>
          <w:sz w:val="32"/>
          <w:szCs w:val="32"/>
          <w:u w:val="none"/>
          <w:lang w:val="en-US" w:eastAsia="zh-CN"/>
        </w:rPr>
        <w:t>，</w:t>
      </w:r>
    </w:p>
    <w:p w14:paraId="4BCE88A9">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rPr>
        <w:t>法定代表人或主要负责人：</w:t>
      </w:r>
      <w:r>
        <w:rPr>
          <w:rFonts w:hint="eastAsia" w:ascii="仿宋_GB2312" w:hAnsi="仿宋_GB2312" w:eastAsia="仿宋_GB2312" w:cs="仿宋_GB2312"/>
          <w:color w:val="auto"/>
          <w:sz w:val="32"/>
          <w:szCs w:val="32"/>
          <w:u w:val="none"/>
          <w:lang w:eastAsia="zh-CN"/>
        </w:rPr>
        <w:t>王峰</w:t>
      </w:r>
      <w:r>
        <w:rPr>
          <w:rFonts w:hint="eastAsia" w:ascii="仿宋_GB2312" w:hAnsi="仿宋_GB2312" w:eastAsia="仿宋_GB2312" w:cs="仿宋_GB2312"/>
          <w:b w:val="0"/>
          <w:bCs w:val="0"/>
          <w:color w:val="auto"/>
          <w:sz w:val="32"/>
          <w:szCs w:val="32"/>
          <w:u w:val="none"/>
          <w:lang w:val="zh-CN"/>
        </w:rPr>
        <w:t>，</w:t>
      </w:r>
      <w:r>
        <w:rPr>
          <w:rFonts w:hint="eastAsia" w:ascii="仿宋_GB2312" w:hAnsi="仿宋_GB2312" w:eastAsia="仿宋_GB2312" w:cs="仿宋_GB2312"/>
          <w:color w:val="auto"/>
          <w:sz w:val="32"/>
          <w:szCs w:val="32"/>
          <w:u w:val="none"/>
        </w:rPr>
        <w:t>职务：</w:t>
      </w:r>
      <w:r>
        <w:rPr>
          <w:rFonts w:hint="eastAsia" w:ascii="仿宋_GB2312" w:hAnsi="仿宋_GB2312" w:eastAsia="仿宋_GB2312" w:cs="仿宋_GB2312"/>
          <w:b w:val="0"/>
          <w:bCs w:val="0"/>
          <w:color w:val="auto"/>
          <w:sz w:val="32"/>
          <w:szCs w:val="32"/>
          <w:u w:val="none"/>
          <w:lang w:val="en-US" w:eastAsia="zh-CN"/>
        </w:rPr>
        <w:t>局长</w:t>
      </w:r>
    </w:p>
    <w:p w14:paraId="21E15EA3">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color w:val="auto"/>
          <w:sz w:val="32"/>
          <w:szCs w:val="32"/>
        </w:rPr>
      </w:pPr>
      <w:r>
        <w:rPr>
          <w:rFonts w:hint="eastAsia" w:eastAsia="仿宋_GB2312"/>
          <w:color w:val="auto"/>
          <w:spacing w:val="-10"/>
          <w:sz w:val="32"/>
          <w:szCs w:val="32"/>
          <w:u w:val="none"/>
          <w:lang w:val="en-US" w:eastAsia="zh-CN"/>
        </w:rPr>
        <w:t>代**</w:t>
      </w:r>
      <w:r>
        <w:rPr>
          <w:rFonts w:hint="eastAsia" w:ascii="仿宋_GB2312" w:hAnsi="仿宋_GB2312" w:eastAsia="仿宋_GB2312" w:cs="仿宋_GB2312"/>
          <w:b w:val="0"/>
          <w:bCs w:val="0"/>
          <w:color w:val="auto"/>
          <w:sz w:val="32"/>
          <w:szCs w:val="32"/>
          <w:u w:val="none"/>
          <w:lang w:val="en-US" w:eastAsia="zh-CN"/>
        </w:rPr>
        <w:t>对</w:t>
      </w:r>
      <w:r>
        <w:rPr>
          <w:rFonts w:hint="eastAsia" w:ascii="仿宋_GB2312" w:hAnsi="仿宋_GB2312" w:eastAsia="仿宋_GB2312" w:cs="仿宋_GB2312"/>
          <w:color w:val="auto"/>
          <w:sz w:val="32"/>
          <w:szCs w:val="32"/>
          <w:u w:val="none"/>
          <w:lang w:val="en-US" w:eastAsia="zh-CN"/>
        </w:rPr>
        <w:t>双辽市自然资源局</w:t>
      </w:r>
      <w:r>
        <w:rPr>
          <w:rFonts w:hint="eastAsia" w:ascii="仿宋_GB2312" w:hAnsi="仿宋_GB2312" w:eastAsia="仿宋_GB2312" w:cs="仿宋_GB2312"/>
          <w:color w:val="auto"/>
          <w:sz w:val="32"/>
          <w:szCs w:val="32"/>
          <w:lang w:val="en-US" w:eastAsia="zh-CN"/>
        </w:rPr>
        <w:t>《关于代**违法线索举报处理意见书》（双自然资发</w:t>
      </w:r>
      <w:r>
        <w:rPr>
          <w:rFonts w:hint="eastAsia" w:ascii="仿宋_GB2312" w:hAnsi="仿宋_GB2312" w:eastAsia="仿宋_GB2312" w:cs="仿宋_GB2312"/>
          <w:b w:val="0"/>
          <w:bCs w:val="0"/>
          <w:color w:val="auto"/>
          <w:sz w:val="32"/>
          <w:szCs w:val="32"/>
          <w:u w:val="none"/>
          <w:lang w:val="en-US" w:eastAsia="zh-CN"/>
        </w:rPr>
        <w:t>〔2024〕85号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u w:val="none"/>
          <w:lang w:val="en-US" w:eastAsia="zh-CN"/>
        </w:rPr>
        <w:t>不服，</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2024年9月19日</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双辽市人民政府</w:t>
      </w:r>
      <w:r>
        <w:rPr>
          <w:rFonts w:hint="eastAsia" w:ascii="仿宋_GB2312" w:hAnsi="仿宋_GB2312" w:eastAsia="仿宋_GB2312" w:cs="仿宋_GB2312"/>
          <w:color w:val="auto"/>
          <w:sz w:val="32"/>
          <w:szCs w:val="32"/>
        </w:rPr>
        <w:t>申请行政复议，本机关</w:t>
      </w:r>
      <w:r>
        <w:rPr>
          <w:rFonts w:hint="eastAsia" w:ascii="仿宋_GB2312" w:hAnsi="仿宋_GB2312" w:eastAsia="仿宋_GB2312" w:cs="仿宋_GB2312"/>
          <w:color w:val="auto"/>
          <w:sz w:val="32"/>
          <w:szCs w:val="32"/>
          <w:lang w:val="en-US" w:eastAsia="zh-CN"/>
        </w:rPr>
        <w:t>于2024年9月25日</w:t>
      </w:r>
      <w:r>
        <w:rPr>
          <w:rFonts w:hint="eastAsia" w:ascii="仿宋_GB2312" w:hAnsi="仿宋_GB2312" w:eastAsia="仿宋_GB2312" w:cs="仿宋_GB2312"/>
          <w:color w:val="auto"/>
          <w:sz w:val="32"/>
          <w:szCs w:val="32"/>
        </w:rPr>
        <w:t>依法予</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 xml:space="preserve">受理，现已审理终结。 </w:t>
      </w:r>
    </w:p>
    <w:p w14:paraId="1B8F330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color w:val="auto"/>
          <w:sz w:val="32"/>
          <w:szCs w:val="32"/>
          <w:lang w:val="en-US" w:eastAsia="zh-CN"/>
        </w:rPr>
        <w:t>撤销《关于代**违法线索举报处理意见书》（双自然资发</w:t>
      </w:r>
      <w:r>
        <w:rPr>
          <w:rFonts w:hint="eastAsia" w:ascii="仿宋_GB2312" w:hAnsi="仿宋_GB2312" w:eastAsia="仿宋_GB2312" w:cs="仿宋_GB2312"/>
          <w:b w:val="0"/>
          <w:bCs w:val="0"/>
          <w:color w:val="auto"/>
          <w:sz w:val="32"/>
          <w:szCs w:val="32"/>
          <w:u w:val="none"/>
          <w:lang w:val="en-US" w:eastAsia="zh-CN"/>
        </w:rPr>
        <w:t>〔2024〕85号</w:t>
      </w:r>
      <w:r>
        <w:rPr>
          <w:rFonts w:hint="eastAsia" w:ascii="仿宋_GB2312" w:hAnsi="仿宋_GB2312" w:eastAsia="仿宋_GB2312" w:cs="仿宋_GB2312"/>
          <w:color w:val="auto"/>
          <w:sz w:val="32"/>
          <w:szCs w:val="32"/>
          <w:lang w:val="en-US" w:eastAsia="zh-CN"/>
        </w:rPr>
        <w:t>），停止对自身利益的侵害及进行补偿</w:t>
      </w:r>
      <w:r>
        <w:rPr>
          <w:rFonts w:hint="eastAsia" w:ascii="仿宋_GB2312" w:hAnsi="仿宋_GB2312" w:eastAsia="仿宋_GB2312" w:cs="仿宋_GB2312"/>
          <w:b w:val="0"/>
          <w:bCs w:val="0"/>
          <w:color w:val="auto"/>
          <w:sz w:val="32"/>
          <w:szCs w:val="32"/>
          <w:u w:val="none"/>
          <w:lang w:val="en-US" w:eastAsia="zh-CN"/>
        </w:rPr>
        <w:t>。</w:t>
      </w:r>
    </w:p>
    <w:p w14:paraId="0055F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color w:val="auto"/>
          <w:sz w:val="32"/>
          <w:szCs w:val="32"/>
          <w:lang w:val="en-US" w:eastAsia="zh-CN"/>
        </w:rPr>
        <w:t>《关于代**违法线索举报处理意见书》（双自然资发</w:t>
      </w:r>
      <w:r>
        <w:rPr>
          <w:rFonts w:hint="eastAsia" w:ascii="仿宋_GB2312" w:hAnsi="仿宋_GB2312" w:eastAsia="仿宋_GB2312" w:cs="仿宋_GB2312"/>
          <w:b w:val="0"/>
          <w:bCs w:val="0"/>
          <w:color w:val="auto"/>
          <w:sz w:val="32"/>
          <w:szCs w:val="32"/>
          <w:u w:val="none"/>
          <w:lang w:val="en-US" w:eastAsia="zh-CN"/>
        </w:rPr>
        <w:t>〔2024〕85号，以下简称《处理意见书》）给出结论对我自身利益不会有任何好处，应</w:t>
      </w:r>
      <w:r>
        <w:rPr>
          <w:rFonts w:hint="eastAsia" w:ascii="仿宋_GB2312" w:hAnsi="仿宋_GB2312" w:eastAsia="仿宋_GB2312" w:cs="仿宋_GB2312"/>
          <w:color w:val="auto"/>
          <w:sz w:val="32"/>
          <w:szCs w:val="32"/>
          <w:lang w:val="en-US" w:eastAsia="zh-CN"/>
        </w:rPr>
        <w:t>停止对自身利益的侵害及进行补偿，产生后果由被申请人承担</w:t>
      </w:r>
      <w:r>
        <w:rPr>
          <w:rFonts w:hint="eastAsia" w:ascii="仿宋_GB2312" w:hAnsi="仿宋_GB2312" w:eastAsia="仿宋_GB2312" w:cs="仿宋_GB2312"/>
          <w:b w:val="0"/>
          <w:bCs w:val="0"/>
          <w:color w:val="auto"/>
          <w:sz w:val="32"/>
          <w:szCs w:val="32"/>
          <w:u w:val="none"/>
          <w:lang w:val="en-US" w:eastAsia="zh-CN"/>
        </w:rPr>
        <w:t>。</w:t>
      </w:r>
    </w:p>
    <w:p w14:paraId="00A595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color w:val="auto"/>
          <w:sz w:val="32"/>
          <w:szCs w:val="32"/>
          <w:lang w:val="en-US" w:eastAsia="zh-CN"/>
        </w:rPr>
        <w:t>该</w:t>
      </w:r>
      <w:r>
        <w:rPr>
          <w:rFonts w:hint="eastAsia" w:ascii="仿宋_GB2312" w:hAnsi="仿宋_GB2312" w:eastAsia="仿宋_GB2312" w:cs="仿宋_GB2312"/>
          <w:b w:val="0"/>
          <w:bCs w:val="0"/>
          <w:color w:val="auto"/>
          <w:sz w:val="32"/>
          <w:szCs w:val="32"/>
          <w:u w:val="none"/>
          <w:lang w:val="en-US" w:eastAsia="zh-CN"/>
        </w:rPr>
        <w:t>《处理意见书》依法作出，应予维持。</w:t>
      </w:r>
    </w:p>
    <w:p w14:paraId="3ECF3EA3">
      <w:pPr>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u w:val="none"/>
          <w:lang w:val="en-US" w:eastAsia="zh-CN"/>
        </w:rPr>
        <w:t>经审理查明：</w:t>
      </w:r>
      <w:r>
        <w:rPr>
          <w:rFonts w:hint="eastAsia" w:ascii="仿宋_GB2312" w:hAnsi="仿宋_GB2312" w:eastAsia="仿宋_GB2312" w:cs="仿宋_GB2312"/>
          <w:color w:val="auto"/>
          <w:sz w:val="32"/>
          <w:szCs w:val="32"/>
          <w:lang w:val="en-US" w:eastAsia="zh-CN"/>
        </w:rPr>
        <w:t>该</w:t>
      </w:r>
      <w:r>
        <w:rPr>
          <w:rFonts w:hint="eastAsia" w:ascii="仿宋_GB2312" w:hAnsi="仿宋_GB2312" w:eastAsia="仿宋_GB2312" w:cs="仿宋_GB2312"/>
          <w:b w:val="0"/>
          <w:bCs w:val="0"/>
          <w:color w:val="auto"/>
          <w:sz w:val="32"/>
          <w:szCs w:val="32"/>
          <w:u w:val="none"/>
          <w:lang w:val="en-US" w:eastAsia="zh-CN"/>
        </w:rPr>
        <w:t>《处理意见书》于2024年8月19日作出，名为“关于代**违法线索举报处理意见书”</w:t>
      </w:r>
      <w:r>
        <w:rPr>
          <w:rFonts w:hint="eastAsia" w:ascii="仿宋_GB2312" w:hAnsi="仿宋_GB2312" w:eastAsia="仿宋_GB2312" w:cs="仿宋_GB2312"/>
          <w:color w:val="auto"/>
          <w:sz w:val="32"/>
          <w:szCs w:val="32"/>
          <w:lang w:val="en-US" w:eastAsia="zh-CN"/>
        </w:rPr>
        <w:t>。本机关于2024年10月25日要求被申请人提供：一、申请人反映该诉求的相关材料；二、对争议建筑认定的违建决定；三、处理意见中“决定对该项目立案调查并予以处罚，责令改正违法行为，补办相关手续”是否全部或部分做出决定情况；四、案件办理前期称该处理意见书是格式文本，格式文本出处。被申请人于2024年10月29日出具《情况说明》称：针对信访人代**所反映的情况，我局进行了调查核实，双辽市供电车间属于铁路系统，拥有土地使用权范围内，该项目已由原铁道部铁路总公司在2013年完成了立项和审批，双辽市城市管理执法局于2015年12月对郑家屯供电车间办公楼轨道车库的施工单位中铁十二局进行了立案处理，因处罚主体不正确，撤销了原双辽市城市管理执法局下达的处罚决定。双辽市自然资源局进行了重新立案调查，目前调查取证、案件审理等环节已基本结束，待法制审核和集体讨论通过后作出处理决定。同时提供2024年8月29日吉林省高级人民法院行政裁定书一份（（2024）吉行申52号）。对申请人反映该诉求的相关材料、对争议建筑认定的违建决定、格式文本出处未能提供。</w:t>
      </w:r>
    </w:p>
    <w:p w14:paraId="109F97FA">
      <w:pPr>
        <w:bidi w:val="0"/>
        <w:ind w:firstLine="640" w:firstLineChars="200"/>
        <w:rPr>
          <w:rFonts w:hint="eastAsia" w:ascii="仿宋_GB2312" w:hAnsi="仿宋_GB2312" w:eastAsia="黑体" w:cs="仿宋_GB2312"/>
          <w:b w:val="0"/>
          <w:bCs w:val="0"/>
          <w:color w:val="0000FF"/>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双方提供证据显示，对争议建筑双方已经信访、诉讼多年，被申请人依据生效判决对争议建筑进行处理情况已多次对申请人出具情况说明。在基本事实和处理结果没有本质变化情况下，该</w:t>
      </w:r>
      <w:r>
        <w:rPr>
          <w:rFonts w:hint="eastAsia" w:ascii="仿宋_GB2312" w:hAnsi="仿宋_GB2312" w:eastAsia="仿宋_GB2312" w:cs="仿宋_GB2312"/>
          <w:b w:val="0"/>
          <w:bCs w:val="0"/>
          <w:color w:val="auto"/>
          <w:sz w:val="32"/>
          <w:szCs w:val="32"/>
          <w:u w:val="none"/>
          <w:lang w:val="en-US" w:eastAsia="zh-CN"/>
        </w:rPr>
        <w:t>《处理意见书》并未对申请人的权利义务产生新的影响，仍属对生效判决执行阶段的情况说明和告知行为，其新增告知申请人可以申请行政复议部分内容，并无法律依据。</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color w:val="auto"/>
          <w:sz w:val="32"/>
          <w:szCs w:val="32"/>
        </w:rPr>
        <w:t>上述事实有下列证据证明：</w:t>
      </w:r>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w:t>
      </w:r>
    </w:p>
    <w:p w14:paraId="00882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1、行政复议申请书；</w:t>
      </w:r>
    </w:p>
    <w:p w14:paraId="1AE395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val="en-US" w:eastAsia="zh-CN"/>
        </w:rPr>
        <w:t>申请人</w:t>
      </w:r>
      <w:r>
        <w:rPr>
          <w:rFonts w:hint="eastAsia" w:ascii="仿宋_GB2312" w:hAnsi="仿宋_GB2312" w:eastAsia="仿宋_GB2312" w:cs="仿宋_GB2312"/>
          <w:color w:val="auto"/>
          <w:sz w:val="32"/>
          <w:szCs w:val="32"/>
          <w:u w:val="none"/>
          <w:lang w:val="en-US" w:eastAsia="zh-CN"/>
        </w:rPr>
        <w:t>身份证复印件；</w:t>
      </w:r>
    </w:p>
    <w:p w14:paraId="6207C6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b w:val="0"/>
          <w:bCs w:val="0"/>
          <w:color w:val="auto"/>
          <w:sz w:val="32"/>
          <w:szCs w:val="32"/>
          <w:u w:val="none"/>
          <w:lang w:val="en-US" w:eastAsia="zh-CN"/>
        </w:rPr>
        <w:t>双自然资发〔2024〕85号关于代**违法线索举报处理意见书</w:t>
      </w:r>
      <w:r>
        <w:rPr>
          <w:rFonts w:hint="eastAsia" w:ascii="仿宋_GB2312" w:hAnsi="仿宋_GB2312" w:eastAsia="仿宋_GB2312" w:cs="仿宋_GB2312"/>
          <w:color w:val="auto"/>
          <w:sz w:val="32"/>
          <w:szCs w:val="32"/>
          <w:u w:val="none"/>
          <w:lang w:val="en-US" w:eastAsia="zh-CN"/>
        </w:rPr>
        <w:t>；</w:t>
      </w:r>
    </w:p>
    <w:p w14:paraId="72B084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b w:val="0"/>
          <w:bCs w:val="0"/>
          <w:color w:val="auto"/>
          <w:sz w:val="32"/>
          <w:szCs w:val="32"/>
          <w:u w:val="none"/>
          <w:lang w:val="en-US" w:eastAsia="zh-CN"/>
        </w:rPr>
        <w:t>其他相关证据材料</w:t>
      </w:r>
      <w:r>
        <w:rPr>
          <w:rFonts w:hint="eastAsia" w:ascii="仿宋_GB2312" w:hAnsi="仿宋_GB2312" w:eastAsia="仿宋_GB2312" w:cs="仿宋_GB2312"/>
          <w:color w:val="auto"/>
          <w:sz w:val="32"/>
          <w:szCs w:val="32"/>
          <w:u w:val="none"/>
          <w:lang w:val="en-US" w:eastAsia="zh-CN"/>
        </w:rPr>
        <w:t>。</w:t>
      </w:r>
    </w:p>
    <w:p w14:paraId="11894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w:t>
      </w:r>
    </w:p>
    <w:p w14:paraId="41F1F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1、行政复议答复书；</w:t>
      </w:r>
    </w:p>
    <w:p w14:paraId="017ADA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color w:val="auto"/>
          <w:sz w:val="32"/>
          <w:szCs w:val="32"/>
          <w:u w:val="none"/>
          <w:lang w:val="en-US" w:eastAsia="zh-CN"/>
        </w:rPr>
        <w:t>情况说明</w:t>
      </w:r>
      <w:r>
        <w:rPr>
          <w:rFonts w:hint="eastAsia" w:ascii="仿宋_GB2312" w:hAnsi="仿宋_GB2312" w:eastAsia="仿宋_GB2312" w:cs="仿宋_GB2312"/>
          <w:b w:val="0"/>
          <w:bCs w:val="0"/>
          <w:color w:val="auto"/>
          <w:sz w:val="32"/>
          <w:szCs w:val="32"/>
          <w:u w:val="none"/>
          <w:lang w:val="en-US" w:eastAsia="zh-CN"/>
        </w:rPr>
        <w:t>；</w:t>
      </w:r>
    </w:p>
    <w:p w14:paraId="3A00C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3、其他相关证据材料。</w:t>
      </w:r>
    </w:p>
    <w:p w14:paraId="4DD626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黑体" w:hAnsi="黑体" w:eastAsia="黑体" w:cs="黑体"/>
          <w:color w:val="auto"/>
          <w:sz w:val="32"/>
          <w:szCs w:val="32"/>
        </w:rPr>
        <w:t>本机关认为：</w:t>
      </w:r>
    </w:p>
    <w:p w14:paraId="354467A0">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被申请人对申请人作出的双自然资发</w:t>
      </w:r>
      <w:r>
        <w:rPr>
          <w:rFonts w:hint="eastAsia" w:ascii="仿宋_GB2312" w:hAnsi="仿宋_GB2312" w:eastAsia="仿宋_GB2312" w:cs="仿宋_GB2312"/>
          <w:b w:val="0"/>
          <w:bCs w:val="0"/>
          <w:color w:val="auto"/>
          <w:sz w:val="32"/>
          <w:szCs w:val="32"/>
          <w:u w:val="none"/>
          <w:lang w:val="en-US" w:eastAsia="zh-CN"/>
        </w:rPr>
        <w:t>〔2024〕85号《处理意见书》并未对申请人的权利义务产生新的影响，仍属对生效判决执行阶段的情况说明和告知行为，被申请人新增告知申请人可以申请行政复议部分内容，并无法律依据</w:t>
      </w:r>
      <w:r>
        <w:rPr>
          <w:rFonts w:hint="eastAsia" w:ascii="仿宋_GB2312" w:hAnsi="仿宋_GB2312" w:eastAsia="仿宋_GB2312" w:cs="仿宋_GB2312"/>
          <w:color w:val="auto"/>
          <w:sz w:val="32"/>
          <w:szCs w:val="32"/>
          <w:lang w:val="en-US" w:eastAsia="zh-CN"/>
        </w:rPr>
        <w:t>。故该</w:t>
      </w:r>
      <w:r>
        <w:rPr>
          <w:rFonts w:hint="eastAsia" w:ascii="仿宋_GB2312" w:hAnsi="仿宋_GB2312" w:eastAsia="仿宋_GB2312" w:cs="仿宋_GB2312"/>
          <w:b w:val="0"/>
          <w:bCs w:val="0"/>
          <w:color w:val="auto"/>
          <w:sz w:val="32"/>
          <w:szCs w:val="32"/>
          <w:u w:val="none"/>
          <w:lang w:val="en-US" w:eastAsia="zh-CN"/>
        </w:rPr>
        <w:t>《处理意见书》不</w:t>
      </w:r>
      <w:r>
        <w:rPr>
          <w:rFonts w:hint="eastAsia" w:ascii="仿宋_GB2312" w:hAnsi="仿宋_GB2312" w:eastAsia="仿宋_GB2312" w:cs="仿宋_GB2312"/>
          <w:color w:val="auto"/>
          <w:sz w:val="32"/>
          <w:szCs w:val="32"/>
          <w:lang w:val="en-US" w:eastAsia="zh-CN"/>
        </w:rPr>
        <w:t>符合《中华人民共和国行政复议法》第十一条及第三十条第一款规定之情形。依据《中华人民共和国行政复议法》第三十三条</w:t>
      </w:r>
      <w:r>
        <w:rPr>
          <w:rFonts w:hint="eastAsia" w:ascii="仿宋_GB2312" w:hAnsi="仿宋_GB2312" w:eastAsia="仿宋_GB2312" w:cs="仿宋_GB2312"/>
          <w:color w:val="auto"/>
          <w:sz w:val="32"/>
          <w:szCs w:val="32"/>
        </w:rPr>
        <w:t>的规定，本机关决定如下：</w:t>
      </w:r>
    </w:p>
    <w:p w14:paraId="7FB2BA85">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驳回行政复议申请。</w:t>
      </w:r>
    </w:p>
    <w:p w14:paraId="6B9CCED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人民法院提起行政诉讼。</w:t>
      </w:r>
    </w:p>
    <w:p w14:paraId="08471747">
      <w:pPr>
        <w:jc w:val="both"/>
        <w:rPr>
          <w:rFonts w:hint="eastAsia" w:ascii="仿宋_GB2312" w:hAnsi="仿宋_GB2312" w:eastAsia="仿宋_GB2312" w:cs="仿宋_GB2312"/>
          <w:color w:val="auto"/>
          <w:sz w:val="32"/>
          <w:szCs w:val="32"/>
          <w:u w:val="single"/>
          <w:lang w:val="en-US" w:eastAsia="zh-CN"/>
        </w:rPr>
      </w:pPr>
    </w:p>
    <w:p w14:paraId="79362F94">
      <w:pPr>
        <w:ind w:firstLine="3260" w:firstLineChars="1019"/>
        <w:jc w:val="center"/>
        <w:rPr>
          <w:rFonts w:hint="eastAsia" w:ascii="仿宋_GB2312" w:hAnsi="仿宋_GB2312" w:eastAsia="仿宋_GB2312" w:cs="仿宋_GB2312"/>
          <w:color w:val="auto"/>
          <w:sz w:val="32"/>
          <w:szCs w:val="32"/>
          <w:u w:val="none"/>
          <w:lang w:val="en-US" w:eastAsia="zh-CN"/>
        </w:rPr>
      </w:pPr>
    </w:p>
    <w:p w14:paraId="648CBC0E">
      <w:pPr>
        <w:ind w:firstLine="3260" w:firstLineChars="1019"/>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0000FF"/>
          <w:sz w:val="32"/>
          <w:szCs w:val="32"/>
          <w:u w:val="none"/>
          <w:lang w:val="en-US" w:eastAsia="zh-CN"/>
        </w:rPr>
        <w:t xml:space="preserve"> </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WFlNzgyMGZiMmUyYjUxZjE1YWMwZGY2MWI1OWEifQ=="/>
  </w:docVars>
  <w:rsids>
    <w:rsidRoot w:val="00172A27"/>
    <w:rsid w:val="06132414"/>
    <w:rsid w:val="07110191"/>
    <w:rsid w:val="1593127F"/>
    <w:rsid w:val="183915CA"/>
    <w:rsid w:val="1B7D2C75"/>
    <w:rsid w:val="1B855292"/>
    <w:rsid w:val="35E41EDE"/>
    <w:rsid w:val="39B35615"/>
    <w:rsid w:val="3E1C2E2C"/>
    <w:rsid w:val="3EA239DD"/>
    <w:rsid w:val="418765C8"/>
    <w:rsid w:val="42026C84"/>
    <w:rsid w:val="45895D38"/>
    <w:rsid w:val="464F3AB7"/>
    <w:rsid w:val="46F90F07"/>
    <w:rsid w:val="491F5E66"/>
    <w:rsid w:val="4AD818DC"/>
    <w:rsid w:val="4B186E11"/>
    <w:rsid w:val="4D9D560B"/>
    <w:rsid w:val="4FC249D4"/>
    <w:rsid w:val="52A35472"/>
    <w:rsid w:val="55E83210"/>
    <w:rsid w:val="57B47E3D"/>
    <w:rsid w:val="582C7CB7"/>
    <w:rsid w:val="5D4B0BE0"/>
    <w:rsid w:val="5E334983"/>
    <w:rsid w:val="5E736238"/>
    <w:rsid w:val="61943C32"/>
    <w:rsid w:val="623F2F1A"/>
    <w:rsid w:val="62411073"/>
    <w:rsid w:val="68BE43AF"/>
    <w:rsid w:val="69447B25"/>
    <w:rsid w:val="6AF02DC7"/>
    <w:rsid w:val="6D582FC7"/>
    <w:rsid w:val="72BB6775"/>
    <w:rsid w:val="76142C5F"/>
    <w:rsid w:val="76872831"/>
    <w:rsid w:val="78E75809"/>
    <w:rsid w:val="7F83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1368</Words>
  <Characters>1457</Characters>
  <Lines>0</Lines>
  <Paragraphs>0</Paragraphs>
  <TotalTime>13</TotalTime>
  <ScaleCrop>false</ScaleCrop>
  <LinksUpToDate>false</LinksUpToDate>
  <CharactersWithSpaces>1475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苏打</cp:lastModifiedBy>
  <cp:lastPrinted>2024-11-12T02:22:00Z</cp:lastPrinted>
  <dcterms:modified xsi:type="dcterms:W3CDTF">2025-03-06T07:44:10Z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6C249B0ACCA44F7092EA2FA6A40FE2D1_13</vt:lpwstr>
  </property>
  <property fmtid="{D5CDD505-2E9C-101B-9397-08002B2CF9AE}" pid="4" name="KSOTemplateDocerSaveRecord">
    <vt:lpwstr>eyJoZGlkIjoiZWFlYjQwODc2YWI0ZjlhYjYyNzFiYmVjOGI4OGMyMDEiLCJ1c2VySWQiOiIxMjAzNDI2ODE2In0=</vt:lpwstr>
  </property>
</Properties>
</file>