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81F">
      <w:pPr>
        <w:spacing w:line="300" w:lineRule="exact"/>
        <w:jc w:val="center"/>
        <w:rPr>
          <w:rFonts w:hint="eastAsia" w:ascii="Times New Roman" w:hAnsi="Times New Roman" w:eastAsia="方正小标宋简体"/>
          <w:sz w:val="44"/>
          <w:szCs w:val="44"/>
        </w:rPr>
      </w:pPr>
    </w:p>
    <w:p w14:paraId="74491966">
      <w:pPr>
        <w:jc w:val="center"/>
        <w:rPr>
          <w:rFonts w:ascii="Times New Roman" w:hAnsi="Times New Roman"/>
          <w:color w:val="auto"/>
        </w:rPr>
      </w:pPr>
      <w:r>
        <w:rPr>
          <w:rFonts w:ascii="Times New Roman" w:hAnsi="Times New Roman" w:eastAsia="方正小标宋简体"/>
          <w:color w:val="auto"/>
          <w:sz w:val="44"/>
          <w:szCs w:val="44"/>
        </w:rPr>
        <w:t>行政复议决定书</w:t>
      </w:r>
    </w:p>
    <w:p w14:paraId="2C7A540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eastAsia="仿宋_GB2312"/>
          <w:color w:val="auto"/>
          <w:sz w:val="32"/>
          <w:szCs w:val="32"/>
        </w:rPr>
      </w:pPr>
      <w:r>
        <w:rPr>
          <w:rFonts w:hint="eastAsia" w:eastAsia="仿宋_GB2312"/>
          <w:color w:val="auto"/>
          <w:sz w:val="32"/>
          <w:szCs w:val="32"/>
          <w:lang w:val="en-US" w:eastAsia="zh-CN"/>
        </w:rPr>
        <w:t>双政复</w:t>
      </w:r>
      <w:r>
        <w:rPr>
          <w:rFonts w:eastAsia="仿宋_GB2312"/>
          <w:color w:val="auto"/>
          <w:sz w:val="32"/>
          <w:szCs w:val="32"/>
        </w:rPr>
        <w:t>〔</w:t>
      </w:r>
      <w:r>
        <w:rPr>
          <w:rFonts w:hint="eastAsia" w:eastAsia="仿宋_GB2312"/>
          <w:color w:val="auto"/>
          <w:sz w:val="32"/>
          <w:szCs w:val="32"/>
          <w:lang w:val="en-US" w:eastAsia="zh-CN"/>
        </w:rPr>
        <w:t>2026</w:t>
      </w:r>
      <w:r>
        <w:rPr>
          <w:rFonts w:eastAsia="仿宋_GB2312"/>
          <w:color w:val="auto"/>
          <w:sz w:val="32"/>
          <w:szCs w:val="32"/>
        </w:rPr>
        <w:t>〕</w:t>
      </w:r>
      <w:r>
        <w:rPr>
          <w:rFonts w:hint="eastAsia" w:eastAsia="仿宋_GB2312"/>
          <w:color w:val="auto"/>
          <w:sz w:val="32"/>
          <w:szCs w:val="32"/>
          <w:lang w:val="en-US" w:eastAsia="zh-CN"/>
        </w:rPr>
        <w:t>4</w:t>
      </w:r>
      <w:r>
        <w:rPr>
          <w:rFonts w:eastAsia="仿宋_GB2312"/>
          <w:color w:val="auto"/>
          <w:sz w:val="32"/>
          <w:szCs w:val="32"/>
        </w:rPr>
        <w:t>号</w:t>
      </w:r>
    </w:p>
    <w:p w14:paraId="154AE618">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ascii="仿宋_GB2312" w:hAnsi="仿宋_GB2312" w:eastAsia="仿宋_GB2312" w:cs="仿宋_GB2312"/>
          <w:b w:val="0"/>
          <w:bCs w:val="0"/>
          <w:color w:val="auto"/>
          <w:sz w:val="32"/>
          <w:szCs w:val="32"/>
          <w:u w:val="none"/>
          <w:lang w:val="en-US" w:eastAsia="zh-CN"/>
        </w:rPr>
        <w:t>刘**</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4E74B10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eastAsia="仿宋_GB2312"/>
          <w:color w:val="auto"/>
          <w:sz w:val="32"/>
          <w:szCs w:val="32"/>
          <w:u w:val="none"/>
          <w:lang w:val="en-US" w:eastAsia="zh-CN"/>
        </w:rPr>
        <w:t>*******</w:t>
      </w:r>
    </w:p>
    <w:p w14:paraId="679ED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sz w:val="32"/>
          <w:szCs w:val="32"/>
          <w:lang w:val="en-US" w:eastAsia="zh-CN"/>
        </w:rPr>
        <w:t>齐齐哈尔市****</w:t>
      </w:r>
    </w:p>
    <w:p w14:paraId="70436863">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被申请人：</w:t>
      </w:r>
      <w:r>
        <w:rPr>
          <w:rFonts w:hint="eastAsia" w:ascii="仿宋_GB2312" w:hAnsi="仿宋_GB2312" w:eastAsia="仿宋_GB2312" w:cs="仿宋_GB2312"/>
          <w:color w:val="auto"/>
          <w:sz w:val="32"/>
          <w:szCs w:val="32"/>
          <w:u w:val="none"/>
          <w:lang w:val="en-US" w:eastAsia="zh-CN"/>
        </w:rPr>
        <w:t>双辽市市场监督管理局</w:t>
      </w:r>
    </w:p>
    <w:p w14:paraId="2399F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color w:val="auto"/>
          <w:sz w:val="32"/>
          <w:szCs w:val="32"/>
          <w:u w:val="none"/>
        </w:rPr>
        <w:t>住所地：</w:t>
      </w:r>
      <w:r>
        <w:rPr>
          <w:rFonts w:hint="eastAsia" w:ascii="仿宋_GB2312" w:hAnsi="仿宋_GB2312" w:eastAsia="仿宋_GB2312" w:cs="仿宋_GB2312"/>
          <w:b w:val="0"/>
          <w:bCs w:val="0"/>
          <w:color w:val="auto"/>
          <w:sz w:val="32"/>
          <w:szCs w:val="32"/>
          <w:u w:val="none"/>
          <w:lang w:val="zh-CN"/>
        </w:rPr>
        <w:t>吉林省双辽市南运路</w:t>
      </w:r>
    </w:p>
    <w:p w14:paraId="21E15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刘**不服双辽市市场监督管理局不予立案，</w:t>
      </w:r>
      <w:r>
        <w:rPr>
          <w:rFonts w:hint="eastAsia" w:ascii="仿宋_GB2312" w:hAnsi="仿宋_GB2312" w:eastAsia="仿宋_GB2312" w:cs="仿宋_GB2312"/>
          <w:color w:val="auto"/>
          <w:sz w:val="32"/>
          <w:szCs w:val="32"/>
        </w:rPr>
        <w:t>于</w:t>
      </w:r>
      <w:r>
        <w:rPr>
          <w:rFonts w:hint="eastAsia" w:eastAsia="仿宋_GB2312"/>
          <w:color w:val="auto"/>
          <w:sz w:val="32"/>
          <w:szCs w:val="32"/>
          <w:u w:val="none"/>
          <w:lang w:val="en-US" w:eastAsia="zh-CN"/>
        </w:rPr>
        <w:t>2025年12月10日</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双辽市人民政府</w:t>
      </w:r>
      <w:r>
        <w:rPr>
          <w:rFonts w:hint="eastAsia" w:ascii="仿宋_GB2312" w:hAnsi="仿宋_GB2312" w:eastAsia="仿宋_GB2312" w:cs="仿宋_GB2312"/>
          <w:color w:val="auto"/>
          <w:sz w:val="32"/>
          <w:szCs w:val="32"/>
        </w:rPr>
        <w:t>申请行政复议，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本机关</w:t>
      </w:r>
      <w:r>
        <w:rPr>
          <w:rFonts w:hint="eastAsia" w:ascii="仿宋_GB2312" w:hAnsi="仿宋_GB2312" w:eastAsia="仿宋_GB2312" w:cs="仿宋_GB2312"/>
          <w:color w:val="auto"/>
          <w:sz w:val="32"/>
          <w:szCs w:val="32"/>
          <w:u w:val="none"/>
          <w:lang w:val="en-US" w:eastAsia="zh-CN"/>
        </w:rPr>
        <w:t>于</w:t>
      </w:r>
      <w:r>
        <w:rPr>
          <w:rFonts w:hint="eastAsia" w:eastAsia="仿宋_GB2312"/>
          <w:color w:val="auto"/>
          <w:sz w:val="32"/>
          <w:szCs w:val="32"/>
          <w:u w:val="none"/>
          <w:lang w:val="en-US" w:eastAsia="zh-CN"/>
        </w:rPr>
        <w:t>2025年12月16日</w:t>
      </w:r>
      <w:r>
        <w:rPr>
          <w:rFonts w:hint="eastAsia" w:ascii="仿宋_GB2312" w:hAnsi="仿宋_GB2312" w:eastAsia="仿宋_GB2312" w:cs="仿宋_GB2312"/>
          <w:color w:val="auto"/>
          <w:sz w:val="32"/>
          <w:szCs w:val="32"/>
          <w:u w:val="none"/>
          <w:lang w:val="en-US" w:eastAsia="zh-CN"/>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予以受理</w:t>
      </w:r>
      <w:r>
        <w:rPr>
          <w:rFonts w:hint="eastAsia" w:ascii="仿宋_GB2312" w:hAnsi="仿宋_GB2312" w:eastAsia="仿宋_GB2312" w:cs="仿宋_GB2312"/>
          <w:color w:val="auto"/>
          <w:sz w:val="32"/>
          <w:szCs w:val="32"/>
        </w:rPr>
        <w:t xml:space="preserve">，现已审理终结。 </w:t>
      </w:r>
    </w:p>
    <w:p w14:paraId="1B8F3300">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0000FF"/>
          <w:sz w:val="32"/>
          <w:szCs w:val="32"/>
          <w:u w:val="none"/>
          <w:lang w:val="zh-CN"/>
        </w:rPr>
      </w:pPr>
      <w:r>
        <w:rPr>
          <w:rFonts w:hint="eastAsia" w:ascii="黑体" w:hAnsi="黑体" w:eastAsia="黑体" w:cs="黑体"/>
          <w:color w:val="auto"/>
          <w:sz w:val="32"/>
          <w:szCs w:val="32"/>
        </w:rPr>
        <w:t>申请人请求：</w:t>
      </w:r>
      <w:r>
        <w:rPr>
          <w:rFonts w:hint="eastAsia" w:ascii="仿宋_GB2312" w:hAnsi="仿宋_GB2312" w:eastAsia="仿宋_GB2312" w:cs="仿宋_GB2312"/>
          <w:b w:val="0"/>
          <w:bCs w:val="0"/>
          <w:color w:val="auto"/>
          <w:sz w:val="32"/>
          <w:szCs w:val="32"/>
          <w:u w:val="none"/>
          <w:lang w:val="en-US" w:eastAsia="zh-CN"/>
        </w:rPr>
        <w:t>责令被申请人</w:t>
      </w:r>
      <w:r>
        <w:rPr>
          <w:rFonts w:hint="eastAsia" w:ascii="仿宋_GB2312" w:hAnsi="仿宋_GB2312" w:eastAsia="仿宋_GB2312" w:cs="仿宋_GB2312"/>
          <w:sz w:val="32"/>
          <w:szCs w:val="32"/>
          <w:lang w:val="en-US" w:eastAsia="zh-CN"/>
        </w:rPr>
        <w:t>撤销不予立案决定，并责令被申请人依法立案和受理申请人的投诉</w:t>
      </w:r>
      <w:r>
        <w:rPr>
          <w:rFonts w:hint="eastAsia" w:ascii="仿宋_GB2312" w:hAnsi="仿宋_GB2312" w:eastAsia="仿宋_GB2312" w:cs="仿宋_GB2312"/>
          <w:color w:val="auto"/>
          <w:sz w:val="32"/>
          <w:szCs w:val="32"/>
          <w:lang w:val="en-US" w:eastAsia="zh-CN"/>
        </w:rPr>
        <w:t>。</w:t>
      </w:r>
    </w:p>
    <w:p w14:paraId="155BE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申请人称：</w:t>
      </w:r>
      <w:r>
        <w:rPr>
          <w:rFonts w:hint="eastAsia" w:ascii="仿宋_GB2312" w:hAnsi="仿宋_GB2312" w:eastAsia="仿宋_GB2312" w:cs="仿宋_GB2312"/>
          <w:b w:val="0"/>
          <w:bCs w:val="0"/>
          <w:color w:val="auto"/>
          <w:sz w:val="32"/>
          <w:szCs w:val="32"/>
          <w:u w:val="none"/>
          <w:lang w:val="en-US" w:eastAsia="zh-CN"/>
        </w:rPr>
        <w:t>申请人于2025年11月08日，向被申请人书面邮寄了一份标题为投诉举报信的投诉举报材料，关于****有限公司售卖的“指***”举报材料。申请人收到了由被申请人于2025年11月27日，作出了不予立案的决定。申请人不服该决定，逐复议。</w:t>
      </w:r>
    </w:p>
    <w:p w14:paraId="2A57C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申请人向被申请人举报的“指****”，该产品显然为超范围使有添加剂的违法行为，违法行为明确。售卖超范围使有添加剂不属于于违法行为轻微，不符合不予立案的情形。被举报产品违法行为事实清楚，违反相关规定的证据充分。符合《市场监督管理行政处罚程序规定》第十九条经核查，符合下列条件的,应当立案:(一)有证据初步证明存在违反市场监督管理法律、法规、规章的行为。被申请人应当对申请人的举报依法立案。</w:t>
      </w:r>
    </w:p>
    <w:p w14:paraId="4E037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综上，依据《中华人民共和国行政复议法实施条例》第二十八条第二款规定，申请人与被申请复议的行政行为有利害关系,申请复议的公民、法人或者其他组织具有申请人资格、复议机关应当受理其复议申请的法定条件之一。这一标准与《中华人民共和国行政诉讼法》第二十五条第一款规定的行政诉讼原告资格法定条件完全一致。《最高人民法院关于适用&lt;中华人民共和国行政诉讼法&gt;的解释》第十二条第五项规定，为维护自身合法权益向行政机关投诉，具有处理投诉事项法定职责的行政机关作出或者未作出处理，举报人不服提起行政诉讼的，具有原告资格。(2013)行他字第14号《最高人民法院关于举报人对行政机关就举报事项作出的处理或者不作为行为不服是否具有行政复议申请人资格问题的答复》亦明确规定，举报人为维护自身合法权益而举报相关违法行为人，要求行政机关查处，对行政机关就举报事项作出的处理或者不作为行为不服申请行政复议的，具有复议申请人资格。所以，为维护自身合法权益，申请人与相关行政行为有利害关系，故向贵机关申请行政复议。申请确认被申请人认定事实不清，适用法律不当。</w:t>
      </w:r>
    </w:p>
    <w:p w14:paraId="4197678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b w:val="0"/>
          <w:bCs w:val="0"/>
          <w:color w:val="auto"/>
          <w:sz w:val="32"/>
          <w:szCs w:val="32"/>
          <w:u w:val="none"/>
          <w:lang w:val="zh-CN"/>
        </w:rPr>
        <w:t>被申请人称：</w:t>
      </w:r>
      <w:r>
        <w:rPr>
          <w:rFonts w:hint="eastAsia" w:ascii="仿宋_GB2312" w:hAnsi="仿宋_GB2312" w:eastAsia="仿宋_GB2312" w:cs="仿宋_GB2312"/>
          <w:sz w:val="32"/>
          <w:szCs w:val="40"/>
        </w:rPr>
        <w:t>我局于2025年11月18日收到</w:t>
      </w:r>
      <w:r>
        <w:rPr>
          <w:rFonts w:hint="eastAsia" w:ascii="仿宋_GB2312" w:hAnsi="仿宋_GB2312" w:eastAsia="仿宋_GB2312" w:cs="仿宋_GB2312"/>
          <w:sz w:val="32"/>
          <w:szCs w:val="40"/>
          <w:lang w:eastAsia="zh-CN"/>
        </w:rPr>
        <w:t>刘**</w:t>
      </w:r>
      <w:r>
        <w:rPr>
          <w:rFonts w:hint="eastAsia" w:ascii="仿宋_GB2312" w:hAnsi="仿宋_GB2312" w:eastAsia="仿宋_GB2312" w:cs="仿宋_GB2312"/>
          <w:sz w:val="32"/>
          <w:szCs w:val="40"/>
        </w:rPr>
        <w:t>的投诉举报信，内容为:投诉举报人于2025年10月27日至超市购得由被投诉举报人生产的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指</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1个，单价:12.00元，产品条码:6</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，生产许可证:SC11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，产品标准号:GB</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生产日期:2025年06月12日，净含量:308克。该产品的主要原料为木瓜，而木瓜属于热带水果。根据相关规定，热带水果中不允许添加食品添加剂山梨酸钾。该产品添加了山梨酸钾，属于违规添加食品添加剂。投诉举报人认为</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超市(</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)的经营行为违反了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食品安全法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预包装食品标签通则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预包装食品营养标签通则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相关条款之规定。</w:t>
      </w:r>
    </w:p>
    <w:p w14:paraId="55B87B5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rPr>
        <w:t>收到</w:t>
      </w:r>
      <w:r>
        <w:rPr>
          <w:rFonts w:hint="eastAsia" w:ascii="仿宋_GB2312" w:hAnsi="仿宋_GB2312" w:eastAsia="仿宋_GB2312" w:cs="仿宋_GB2312"/>
          <w:sz w:val="32"/>
          <w:szCs w:val="40"/>
          <w:lang w:eastAsia="zh-CN"/>
        </w:rPr>
        <w:t>刘**</w:t>
      </w:r>
      <w:r>
        <w:rPr>
          <w:rFonts w:hint="eastAsia" w:ascii="仿宋_GB2312" w:hAnsi="仿宋_GB2312" w:eastAsia="仿宋_GB2312" w:cs="仿宋_GB2312"/>
          <w:sz w:val="32"/>
          <w:szCs w:val="40"/>
        </w:rPr>
        <w:t>的投诉举报后，2025年11月20日15时23分，我局执法人员袁</w:t>
      </w:r>
      <w:r>
        <w:rPr>
          <w:rFonts w:hint="eastAsia" w:ascii="仿宋_GB2312" w:hAnsi="仿宋_GB2312" w:eastAsia="仿宋_GB2312" w:cs="仿宋_GB2312"/>
          <w:sz w:val="32"/>
          <w:szCs w:val="40"/>
          <w:lang w:val="en-US" w:eastAsia="zh-CN"/>
        </w:rPr>
        <w:t>**</w:t>
      </w:r>
      <w:bookmarkStart w:id="0" w:name="_GoBack"/>
      <w:bookmarkEnd w:id="0"/>
      <w:r>
        <w:rPr>
          <w:rFonts w:hint="eastAsia" w:ascii="仿宋_GB2312" w:hAnsi="仿宋_GB2312" w:eastAsia="仿宋_GB2312" w:cs="仿宋_GB2312"/>
          <w:sz w:val="32"/>
          <w:szCs w:val="40"/>
        </w:rPr>
        <w:t>以电话的形式告知(有电话录音)投诉人</w:t>
      </w:r>
      <w:r>
        <w:rPr>
          <w:rFonts w:hint="eastAsia" w:ascii="仿宋_GB2312" w:hAnsi="仿宋_GB2312" w:eastAsia="仿宋_GB2312" w:cs="仿宋_GB2312"/>
          <w:sz w:val="32"/>
          <w:szCs w:val="40"/>
          <w:lang w:eastAsia="zh-CN"/>
        </w:rPr>
        <w:t>刘**</w:t>
      </w:r>
      <w:r>
        <w:rPr>
          <w:rFonts w:hint="eastAsia" w:ascii="仿宋_GB2312" w:hAnsi="仿宋_GB2312" w:eastAsia="仿宋_GB2312" w:cs="仿宋_GB2312"/>
          <w:sz w:val="32"/>
          <w:szCs w:val="40"/>
        </w:rPr>
        <w:t>(电话13514659090)我局已受理相关投诉举报事项。我局于2025年11月25日对双辽市</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超市进行现场检查，该超市</w:t>
      </w:r>
      <w:r>
        <w:rPr>
          <w:rFonts w:hint="eastAsia" w:ascii="仿宋_GB2312" w:hAnsi="仿宋_GB2312" w:eastAsia="仿宋_GB2312" w:cs="仿宋_GB2312"/>
          <w:sz w:val="32"/>
          <w:szCs w:val="40"/>
          <w:highlight w:val="none"/>
        </w:rPr>
        <w:t>提供了购销凭证、供货者的许可证和食品出厂检验合格证。我局认为该经营者履行了</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中华人民共和国食品安全法</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第53条规定的</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食品经营者采购食品，应当查验供货者的许可证和食品出厂检验合格证或者其他合格证明(以下称合格证明文件)</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的义务。执法人员责令该超市经营的</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指</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进行下架处理并进行召回，剩余的返厂处理。此外，我局已将此线索移交到对</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指</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产地有管辖权的市场监督管理部门。</w:t>
      </w:r>
    </w:p>
    <w:p w14:paraId="203CA8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鉴于双辽市</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rPr>
        <w:t>超市采购</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指</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时履行了进货查验义务，涉案产品数量不多，并及时主动对违法行为进行了整改，且到目前为止并未收到超市的违法行为造成社会危害后果的相关反馈，故该超市的违法行为属于</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市场监督管理行政处罚程序规定</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第二十条第一款</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经核查，有下列情形之一的，可以不予立案</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第一项</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违法行为轻微并及时改正，没有造成危害后果</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的情形。经主管局长批准，对该案件线索不予立案。</w:t>
      </w:r>
    </w:p>
    <w:p w14:paraId="34142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highlight w:val="none"/>
        </w:rPr>
        <w:t>综上所述，请求驳回申请人的行政复议申请，维持答复人作出的不予立案的决定</w:t>
      </w:r>
      <w:r>
        <w:rPr>
          <w:rFonts w:hint="eastAsia" w:ascii="仿宋_GB2312" w:hAnsi="仿宋_GB2312" w:eastAsia="仿宋_GB2312" w:cs="仿宋_GB2312"/>
          <w:sz w:val="32"/>
          <w:szCs w:val="40"/>
          <w:highlight w:val="none"/>
          <w:lang w:eastAsia="zh-CN"/>
        </w:rPr>
        <w:t>。</w:t>
      </w:r>
    </w:p>
    <w:p w14:paraId="3E09F0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经审理查明：</w:t>
      </w:r>
      <w:r>
        <w:rPr>
          <w:rFonts w:hint="eastAsia" w:ascii="仿宋_GB2312" w:hAnsi="仿宋_GB2312" w:eastAsia="仿宋_GB2312" w:cs="仿宋_GB2312"/>
          <w:b w:val="0"/>
          <w:bCs w:val="0"/>
          <w:color w:val="auto"/>
          <w:sz w:val="32"/>
          <w:szCs w:val="32"/>
          <w:highlight w:val="none"/>
          <w:u w:val="none"/>
          <w:lang w:val="en-US" w:eastAsia="zh-CN"/>
        </w:rPr>
        <w:t>被申请人</w:t>
      </w:r>
      <w:r>
        <w:rPr>
          <w:rFonts w:hint="eastAsia" w:ascii="仿宋_GB2312" w:hAnsi="仿宋_GB2312" w:eastAsia="仿宋_GB2312" w:cs="仿宋_GB2312"/>
          <w:sz w:val="32"/>
          <w:szCs w:val="40"/>
          <w:highlight w:val="none"/>
        </w:rPr>
        <w:t>于</w:t>
      </w:r>
      <w:r>
        <w:rPr>
          <w:rFonts w:hint="eastAsia" w:ascii="仿宋_GB2312" w:hAnsi="仿宋_GB2312" w:eastAsia="仿宋_GB2312" w:cs="仿宋_GB2312"/>
          <w:sz w:val="32"/>
          <w:szCs w:val="40"/>
        </w:rPr>
        <w:t>2025年11月18日收到</w:t>
      </w:r>
      <w:r>
        <w:rPr>
          <w:rFonts w:hint="eastAsia" w:ascii="仿宋_GB2312" w:hAnsi="仿宋_GB2312" w:eastAsia="仿宋_GB2312" w:cs="仿宋_GB2312"/>
          <w:sz w:val="32"/>
          <w:szCs w:val="40"/>
          <w:lang w:val="en-US" w:eastAsia="zh-CN"/>
        </w:rPr>
        <w:t>申请人</w:t>
      </w:r>
      <w:r>
        <w:rPr>
          <w:rFonts w:hint="eastAsia" w:ascii="仿宋_GB2312" w:hAnsi="仿宋_GB2312" w:eastAsia="仿宋_GB2312" w:cs="仿宋_GB2312"/>
          <w:b w:val="0"/>
          <w:bCs w:val="0"/>
          <w:color w:val="auto"/>
          <w:sz w:val="32"/>
          <w:szCs w:val="32"/>
          <w:u w:val="none"/>
          <w:lang w:val="en-US" w:eastAsia="zh-CN"/>
        </w:rPr>
        <w:t>投诉举报材料，于2025年11月20日对投诉事项受理情况向申请人告知，其后对投诉举报事项分别处理，根据处理情况，于2025年11月27日依据《市场监督管理投诉举报处理暂行办法》第二十一条第一款第三项做出《投诉终止调解决定书》（市场监管〔2025〕第230058号），同时依据《市场监督管理行政处罚程序规定》第二十条第一款第一项做出《举报不予立案告知书》（市场监管〔2025〕第23003号）。以上法律文书2025年11月28日由申请人签收。</w:t>
      </w:r>
    </w:p>
    <w:p w14:paraId="2183676C">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color w:val="auto"/>
          <w:sz w:val="32"/>
          <w:szCs w:val="32"/>
        </w:rPr>
        <w:t>上述事实有下列证据证明：</w:t>
      </w:r>
    </w:p>
    <w:p w14:paraId="2223D88A">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楷体_GB2312" w:hAnsi="楷体_GB2312" w:eastAsia="楷体_GB2312" w:cs="楷体_GB2312"/>
          <w:color w:val="auto"/>
          <w:sz w:val="32"/>
          <w:szCs w:val="32"/>
          <w:lang w:val="en-US" w:eastAsia="zh-CN"/>
        </w:rPr>
        <w:t>申请人提供：</w:t>
      </w:r>
      <w:r>
        <w:rPr>
          <w:rFonts w:hint="eastAsia" w:ascii="仿宋_GB2312" w:hAnsi="仿宋_GB2312" w:eastAsia="仿宋_GB2312" w:cs="仿宋_GB2312"/>
          <w:color w:val="auto"/>
          <w:sz w:val="32"/>
          <w:szCs w:val="32"/>
          <w:u w:val="none"/>
          <w:lang w:val="en-US" w:eastAsia="zh-CN"/>
        </w:rPr>
        <w:t>1.行政复议申请书； 2.身份证复印件；3.消费凭证；4.投诉举报信；5.案涉商品照片；6.举报不予立案告知书。</w:t>
      </w:r>
    </w:p>
    <w:p w14:paraId="4A2224E7">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eastAsia="仿宋_GB2312"/>
          <w:color w:val="auto"/>
          <w:sz w:val="32"/>
          <w:szCs w:val="32"/>
          <w:lang w:eastAsia="zh-CN"/>
        </w:rPr>
      </w:pPr>
      <w:r>
        <w:rPr>
          <w:rFonts w:hint="eastAsia" w:ascii="楷体_GB2312" w:hAnsi="楷体_GB2312" w:eastAsia="楷体_GB2312" w:cs="楷体_GB2312"/>
          <w:color w:val="auto"/>
          <w:sz w:val="32"/>
          <w:szCs w:val="32"/>
          <w:lang w:val="en-US" w:eastAsia="zh-CN"/>
        </w:rPr>
        <w:t>被申请人提供：</w:t>
      </w:r>
      <w:r>
        <w:rPr>
          <w:rFonts w:hint="eastAsia" w:ascii="仿宋_GB2312" w:hAnsi="仿宋_GB2312" w:eastAsia="仿宋_GB2312" w:cs="仿宋_GB2312"/>
          <w:b w:val="0"/>
          <w:bCs w:val="0"/>
          <w:color w:val="auto"/>
          <w:sz w:val="32"/>
          <w:szCs w:val="32"/>
          <w:u w:val="none"/>
          <w:lang w:val="en-US" w:eastAsia="zh-CN"/>
        </w:rPr>
        <w:t>1.行政复议答复书；2.案件处理过程中相关证据材料</w:t>
      </w: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ascii="仿宋_GB2312" w:hAnsi="仿宋_GB2312" w:eastAsia="仿宋_GB2312" w:cs="仿宋_GB2312"/>
          <w:color w:val="auto"/>
          <w:sz w:val="32"/>
          <w:szCs w:val="32"/>
          <w:u w:val="none"/>
          <w:lang w:val="en-US" w:eastAsia="zh-CN"/>
        </w:rPr>
        <w:t>举报不予立案告知书</w:t>
      </w:r>
      <w:r>
        <w:rPr>
          <w:rFonts w:hint="eastAsia" w:eastAsia="仿宋_GB2312"/>
          <w:color w:val="auto"/>
          <w:sz w:val="32"/>
          <w:szCs w:val="32"/>
          <w:lang w:eastAsia="zh-CN"/>
        </w:rPr>
        <w:t>；</w:t>
      </w:r>
      <w:r>
        <w:rPr>
          <w:rFonts w:hint="eastAsia" w:eastAsia="仿宋_GB2312"/>
          <w:color w:val="auto"/>
          <w:sz w:val="32"/>
          <w:szCs w:val="32"/>
          <w:lang w:val="en-US" w:eastAsia="zh-CN"/>
        </w:rPr>
        <w:t>4.</w:t>
      </w:r>
      <w:r>
        <w:rPr>
          <w:rFonts w:hint="eastAsia" w:ascii="仿宋_GB2312" w:hAnsi="仿宋_GB2312" w:eastAsia="仿宋_GB2312" w:cs="仿宋_GB2312"/>
          <w:b w:val="0"/>
          <w:bCs w:val="0"/>
          <w:color w:val="auto"/>
          <w:sz w:val="32"/>
          <w:szCs w:val="32"/>
          <w:u w:val="none"/>
          <w:lang w:val="en-US" w:eastAsia="zh-CN"/>
        </w:rPr>
        <w:t>投诉终止调解决定书</w:t>
      </w:r>
      <w:r>
        <w:rPr>
          <w:rFonts w:hint="eastAsia" w:eastAsia="仿宋_GB2312"/>
          <w:color w:val="auto"/>
          <w:sz w:val="32"/>
          <w:szCs w:val="32"/>
          <w:lang w:val="en-US" w:eastAsia="zh-CN"/>
        </w:rPr>
        <w:t>；5.投诉举报处理结果告知书；6.</w:t>
      </w:r>
      <w:r>
        <w:rPr>
          <w:rFonts w:hint="eastAsia" w:ascii="仿宋_GB2312" w:hAnsi="仿宋_GB2312" w:eastAsia="仿宋_GB2312" w:cs="仿宋_GB2312"/>
          <w:b w:val="0"/>
          <w:bCs w:val="0"/>
          <w:color w:val="auto"/>
          <w:sz w:val="32"/>
          <w:szCs w:val="32"/>
          <w:u w:val="none"/>
          <w:lang w:val="en-US" w:eastAsia="zh-CN"/>
        </w:rPr>
        <w:t>邮寄凭证</w:t>
      </w:r>
      <w:r>
        <w:rPr>
          <w:rFonts w:hint="eastAsia" w:eastAsia="仿宋_GB2312"/>
          <w:color w:val="auto"/>
          <w:sz w:val="32"/>
          <w:szCs w:val="32"/>
          <w:lang w:eastAsia="zh-CN"/>
        </w:rPr>
        <w:t>。</w:t>
      </w:r>
    </w:p>
    <w:p w14:paraId="3C32AA5E">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本机关认为：</w:t>
      </w:r>
      <w:r>
        <w:rPr>
          <w:rFonts w:hint="eastAsia" w:ascii="仿宋_GB2312" w:hAnsi="仿宋_GB2312" w:eastAsia="仿宋_GB2312" w:cs="仿宋_GB2312"/>
          <w:color w:val="auto"/>
          <w:sz w:val="32"/>
          <w:szCs w:val="32"/>
          <w:highlight w:val="none"/>
          <w:lang w:val="en-US" w:eastAsia="zh-CN"/>
        </w:rPr>
        <w:t>本案被申请</w:t>
      </w:r>
      <w:r>
        <w:rPr>
          <w:rFonts w:hint="eastAsia" w:ascii="仿宋_GB2312" w:hAnsi="仿宋_GB2312" w:eastAsia="仿宋_GB2312" w:cs="仿宋_GB2312"/>
          <w:color w:val="auto"/>
          <w:sz w:val="32"/>
          <w:szCs w:val="32"/>
          <w:lang w:val="en-US" w:eastAsia="zh-CN"/>
        </w:rPr>
        <w:t>人根据争议双方意愿在依法受理后对投诉事项进行了处理，在被投诉人明确拒绝调解的情况下依据</w:t>
      </w:r>
      <w:r>
        <w:rPr>
          <w:rFonts w:hint="eastAsia" w:ascii="仿宋_GB2312" w:hAnsi="仿宋_GB2312" w:eastAsia="仿宋_GB2312" w:cs="仿宋_GB2312"/>
          <w:b w:val="0"/>
          <w:bCs w:val="0"/>
          <w:color w:val="auto"/>
          <w:sz w:val="32"/>
          <w:szCs w:val="32"/>
          <w:u w:val="none"/>
          <w:lang w:val="en-US" w:eastAsia="zh-CN"/>
        </w:rPr>
        <w:t>《市场监督管理投诉举报处理暂行办法》第二十一条第一款第三项做出《投诉终止调解决定书》（市场监管〔2025〕第230058号）已履行法定职责，符合法律规定</w:t>
      </w:r>
      <w:r>
        <w:rPr>
          <w:rFonts w:hint="eastAsia" w:ascii="仿宋_GB2312" w:hAnsi="仿宋_GB2312" w:eastAsia="仿宋_GB2312" w:cs="仿宋_GB2312"/>
          <w:color w:val="auto"/>
          <w:sz w:val="32"/>
          <w:szCs w:val="32"/>
          <w:lang w:val="en-US" w:eastAsia="zh-CN"/>
        </w:rPr>
        <w:t>。</w:t>
      </w:r>
    </w:p>
    <w:p w14:paraId="0439762F">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案涉食品名称为：香****，配料中包含木瓜及山梨酸钾，执行标准为GB***，可见该商品属性为酱腌菜。通常意义上木瓜既可当做水果食用，也可当做蔬菜食用，具体到本案案涉商品，显然是作为一种蔬菜进行腌渍加工。按照《食品安全国家标准 食品添加剂使用标准》（GB2760-2024）附录A食品添加剂的使用规定中食品分类号04.02.02.03“腌渍的蔬菜”对应的山梨酸及其钾盐（包括山梨酸、山梨酸钾，CNS号 17.003、17.004，INS号 200、202），功能为防腐剂、抗氧化剂，最大使用量为1.0g/kg（以山梨酸计），本案案涉商品允许在规定用量内添加食品添加剂山梨酸钾。</w:t>
      </w:r>
    </w:p>
    <w:p w14:paraId="418E8E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highlight w:val="none"/>
          <w:lang w:val="en-US" w:eastAsia="zh-CN"/>
        </w:rPr>
        <w:t>故被申请人</w:t>
      </w:r>
      <w:r>
        <w:rPr>
          <w:rFonts w:hint="eastAsia" w:ascii="仿宋_GB2312" w:hAnsi="仿宋_GB2312" w:eastAsia="仿宋_GB2312" w:cs="仿宋_GB2312"/>
          <w:b w:val="0"/>
          <w:bCs w:val="0"/>
          <w:color w:val="auto"/>
          <w:sz w:val="32"/>
          <w:szCs w:val="32"/>
          <w:highlight w:val="none"/>
          <w:u w:val="none"/>
          <w:lang w:val="en-US" w:eastAsia="zh-CN"/>
        </w:rPr>
        <w:t>做出的《举报不予立案告知书》（市场监管〔2025〕第23003号）符合法律规定。</w:t>
      </w:r>
    </w:p>
    <w:p w14:paraId="2D93B5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val="0"/>
          <w:bCs w:val="0"/>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，被申请人对该投诉举报事项做出的</w:t>
      </w:r>
      <w:r>
        <w:rPr>
          <w:rFonts w:hint="eastAsia" w:ascii="仿宋_GB2312" w:hAnsi="仿宋_GB2312" w:eastAsia="仿宋_GB2312" w:cs="仿宋_GB2312"/>
          <w:b w:val="0"/>
          <w:bCs w:val="0"/>
          <w:color w:val="auto"/>
          <w:sz w:val="32"/>
          <w:szCs w:val="32"/>
          <w:u w:val="none"/>
          <w:lang w:val="en-US" w:eastAsia="zh-CN"/>
        </w:rPr>
        <w:t>《投诉终止调解决定书》（市场监管〔2025〕第230058）及《举报不予立案告知书》（市场监管〔2025〕第23003号）事实清楚，证据确凿，适用依据正确，程序合法，内容适当。</w:t>
      </w:r>
      <w:r>
        <w:rPr>
          <w:rFonts w:hint="eastAsia" w:ascii="仿宋_GB2312" w:hAnsi="仿宋_GB2312" w:eastAsia="仿宋_GB2312" w:cs="仿宋_GB2312"/>
          <w:color w:val="auto"/>
          <w:sz w:val="32"/>
          <w:szCs w:val="32"/>
          <w:lang w:val="en-US" w:eastAsia="zh-CN"/>
        </w:rPr>
        <w:t>依据《中华人民共和国行政复议法》第六十八条</w:t>
      </w:r>
      <w:r>
        <w:rPr>
          <w:rFonts w:hint="eastAsia" w:ascii="仿宋_GB2312" w:hAnsi="仿宋_GB2312" w:eastAsia="仿宋_GB2312" w:cs="仿宋_GB2312"/>
          <w:color w:val="auto"/>
          <w:sz w:val="32"/>
          <w:szCs w:val="32"/>
        </w:rPr>
        <w:t>规定，本机关决定如下：</w:t>
      </w:r>
    </w:p>
    <w:p w14:paraId="76E8D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维持被申请人做出的</w:t>
      </w:r>
      <w:r>
        <w:rPr>
          <w:rFonts w:hint="eastAsia" w:ascii="仿宋_GB2312" w:hAnsi="仿宋_GB2312" w:eastAsia="仿宋_GB2312" w:cs="仿宋_GB2312"/>
          <w:b w:val="0"/>
          <w:bCs w:val="0"/>
          <w:color w:val="auto"/>
          <w:sz w:val="32"/>
          <w:szCs w:val="32"/>
          <w:u w:val="none"/>
          <w:lang w:val="en-US" w:eastAsia="zh-CN"/>
        </w:rPr>
        <w:t>《投诉终止调解决定书》（市场监管〔2025〕第230058）及《举报不予立案告知书》（市场监管〔2025〕第23003号）。</w:t>
      </w:r>
    </w:p>
    <w:p w14:paraId="3A674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申请人如对本决定不服，可以自接到本决定之日起15日内，向</w:t>
      </w:r>
      <w:r>
        <w:rPr>
          <w:rFonts w:hint="eastAsia" w:ascii="仿宋_GB2312" w:hAnsi="仿宋_GB2312" w:eastAsia="仿宋_GB2312" w:cs="仿宋_GB2312"/>
          <w:color w:val="auto"/>
          <w:sz w:val="32"/>
          <w:szCs w:val="32"/>
          <w:u w:val="none"/>
          <w:lang w:val="en-US" w:eastAsia="zh-CN"/>
        </w:rPr>
        <w:t>双辽市</w:t>
      </w:r>
      <w:r>
        <w:rPr>
          <w:rFonts w:hint="eastAsia" w:ascii="仿宋_GB2312" w:hAnsi="仿宋_GB2312" w:eastAsia="仿宋_GB2312" w:cs="仿宋_GB2312"/>
          <w:color w:val="auto"/>
          <w:sz w:val="32"/>
          <w:szCs w:val="32"/>
        </w:rPr>
        <w:t>人民法院提起行政诉讼。</w:t>
      </w:r>
    </w:p>
    <w:p w14:paraId="4180BD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258FFF7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79362F94">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auto"/>
          <w:sz w:val="32"/>
          <w:szCs w:val="32"/>
          <w:u w:val="none"/>
          <w:lang w:val="en-US" w:eastAsia="zh-CN"/>
        </w:rPr>
      </w:pPr>
    </w:p>
    <w:p w14:paraId="648CBC0E">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u w:val="none"/>
          <w:lang w:val="en-US" w:eastAsia="zh-CN"/>
        </w:rPr>
        <w:t xml:space="preserve">      </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76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FlNzgyMGZiMmUyYjUxZjE1YWMwZGY2MWI1OWEifQ=="/>
  </w:docVars>
  <w:rsids>
    <w:rsidRoot w:val="00172A27"/>
    <w:rsid w:val="009D0D65"/>
    <w:rsid w:val="061D01AC"/>
    <w:rsid w:val="06617C50"/>
    <w:rsid w:val="07110191"/>
    <w:rsid w:val="083A267B"/>
    <w:rsid w:val="12301B77"/>
    <w:rsid w:val="166B3974"/>
    <w:rsid w:val="183915CA"/>
    <w:rsid w:val="1B7D2C75"/>
    <w:rsid w:val="210229D5"/>
    <w:rsid w:val="23057C55"/>
    <w:rsid w:val="24A25B72"/>
    <w:rsid w:val="25E56D1A"/>
    <w:rsid w:val="2CB74A51"/>
    <w:rsid w:val="318252FC"/>
    <w:rsid w:val="345B578A"/>
    <w:rsid w:val="35071E5E"/>
    <w:rsid w:val="3C4C67D5"/>
    <w:rsid w:val="3EE6168C"/>
    <w:rsid w:val="3F98564E"/>
    <w:rsid w:val="418765C8"/>
    <w:rsid w:val="41F540C0"/>
    <w:rsid w:val="422E3C0C"/>
    <w:rsid w:val="45705FDB"/>
    <w:rsid w:val="46F90F07"/>
    <w:rsid w:val="48EC6674"/>
    <w:rsid w:val="491F5E66"/>
    <w:rsid w:val="4AD818DC"/>
    <w:rsid w:val="4AEA67DF"/>
    <w:rsid w:val="51414E4E"/>
    <w:rsid w:val="54C24D34"/>
    <w:rsid w:val="55E83210"/>
    <w:rsid w:val="561D628D"/>
    <w:rsid w:val="57804AEE"/>
    <w:rsid w:val="57B47E3D"/>
    <w:rsid w:val="595E4982"/>
    <w:rsid w:val="5B435A44"/>
    <w:rsid w:val="5B8E6A90"/>
    <w:rsid w:val="5B9B762E"/>
    <w:rsid w:val="60344795"/>
    <w:rsid w:val="623F2F1A"/>
    <w:rsid w:val="62411073"/>
    <w:rsid w:val="625E4FE5"/>
    <w:rsid w:val="69447B25"/>
    <w:rsid w:val="6ADE1FDD"/>
    <w:rsid w:val="70F34D08"/>
    <w:rsid w:val="74E90FB2"/>
    <w:rsid w:val="76142C5F"/>
    <w:rsid w:val="76AA5C6F"/>
    <w:rsid w:val="76DC2F5B"/>
    <w:rsid w:val="79083DF8"/>
    <w:rsid w:val="79116B8F"/>
    <w:rsid w:val="79CD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2666</Words>
  <Characters>2955</Characters>
  <Lines>0</Lines>
  <Paragraphs>0</Paragraphs>
  <TotalTime>4</TotalTime>
  <ScaleCrop>false</ScaleCrop>
  <LinksUpToDate>false</LinksUpToDate>
  <CharactersWithSpaces>2966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2024-01-01T12:42:00Z</dcterms:created>
  <dc:creator>User</dc:creator>
  <cp:lastModifiedBy>国民小可爱.</cp:lastModifiedBy>
  <cp:lastPrinted>2026-01-04T07:03:00Z</cp:lastPrinted>
  <dcterms:modified xsi:type="dcterms:W3CDTF">2026-02-24T01:46:29Z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1F1B11DD70CE4F14B1CD58EE5F99F975_13</vt:lpwstr>
  </property>
  <property fmtid="{D5CDD505-2E9C-101B-9397-08002B2CF9AE}" pid="4" name="KSOTemplateDocerSaveRecord">
    <vt:lpwstr>eyJoZGlkIjoiOTBjODQ2ODMwZGQ5NzQ1NWZlYzgxMzk5MzRlMmYwNGYiLCJ1c2VySWQiOiI2NzI1MzQzMTEifQ==</vt:lpwstr>
  </property>
</Properties>
</file>