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7" w:line="227" w:lineRule="auto"/>
        <w:rPr>
          <w:rFonts w:ascii="楷体" w:hAnsi="楷体" w:eastAsia="楷体" w:cs="楷体"/>
          <w:sz w:val="33"/>
          <w:szCs w:val="33"/>
        </w:rPr>
      </w:pPr>
      <w:r>
        <w:rPr>
          <w:rFonts w:ascii="楷体" w:hAnsi="楷体" w:eastAsia="楷体" w:cs="楷体"/>
          <w:spacing w:val="-9"/>
          <w:sz w:val="33"/>
          <w:szCs w:val="33"/>
        </w:rPr>
        <w:t>附件</w:t>
      </w:r>
    </w:p>
    <w:p>
      <w:pPr>
        <w:spacing w:line="258" w:lineRule="auto"/>
        <w:rPr>
          <w:rFonts w:ascii="Arial"/>
          <w:sz w:val="21"/>
        </w:rPr>
      </w:pPr>
    </w:p>
    <w:p>
      <w:pPr>
        <w:spacing w:before="143" w:line="219" w:lineRule="auto"/>
        <w:jc w:val="center"/>
        <w:rPr>
          <w:rFonts w:ascii="宋体" w:hAnsi="宋体" w:eastAsia="宋体" w:cs="宋体"/>
          <w:sz w:val="44"/>
          <w:szCs w:val="44"/>
        </w:rPr>
      </w:pPr>
      <w:r>
        <w:rPr>
          <w:rFonts w:hint="eastAsia" w:ascii="宋体" w:hAnsi="宋体" w:eastAsia="宋体" w:cs="宋体"/>
          <w:b/>
          <w:bCs/>
          <w:spacing w:val="13"/>
          <w:sz w:val="44"/>
          <w:szCs w:val="44"/>
          <w:lang w:val="en-US" w:eastAsia="zh-CN"/>
        </w:rPr>
        <w:t>双辽</w:t>
      </w:r>
      <w:r>
        <w:rPr>
          <w:rFonts w:ascii="宋体" w:hAnsi="宋体" w:eastAsia="宋体" w:cs="宋体"/>
          <w:b/>
          <w:bCs/>
          <w:spacing w:val="13"/>
          <w:sz w:val="44"/>
          <w:szCs w:val="44"/>
        </w:rPr>
        <w:t>市</w:t>
      </w:r>
      <w:r>
        <w:rPr>
          <w:rFonts w:hint="eastAsia" w:ascii="宋体" w:hAnsi="宋体" w:eastAsia="宋体" w:cs="宋体"/>
          <w:b/>
          <w:bCs/>
          <w:spacing w:val="13"/>
          <w:sz w:val="44"/>
          <w:szCs w:val="44"/>
          <w:lang w:val="en-US" w:eastAsia="zh-CN"/>
        </w:rPr>
        <w:t>人力资源和社会保障局</w:t>
      </w:r>
      <w:r>
        <w:rPr>
          <w:rFonts w:ascii="宋体" w:hAnsi="宋体" w:eastAsia="宋体" w:cs="宋体"/>
          <w:b/>
          <w:bCs/>
          <w:spacing w:val="13"/>
          <w:sz w:val="44"/>
          <w:szCs w:val="44"/>
        </w:rPr>
        <w:t>首违不罚事项清单</w:t>
      </w:r>
    </w:p>
    <w:p>
      <w:pPr>
        <w:spacing w:line="338" w:lineRule="auto"/>
        <w:rPr>
          <w:rFonts w:ascii="Arial"/>
          <w:sz w:val="21"/>
        </w:rPr>
      </w:pPr>
    </w:p>
    <w:p>
      <w:pPr>
        <w:spacing w:before="94" w:line="225" w:lineRule="auto"/>
        <w:ind w:left="4"/>
        <w:rPr>
          <w:rFonts w:ascii="楷体" w:hAnsi="楷体" w:eastAsia="楷体" w:cs="楷体"/>
          <w:sz w:val="29"/>
          <w:szCs w:val="29"/>
        </w:rPr>
      </w:pPr>
      <w:r>
        <w:rPr>
          <w:rFonts w:ascii="楷体" w:hAnsi="楷体" w:eastAsia="楷体" w:cs="楷体"/>
          <w:spacing w:val="-20"/>
          <w:sz w:val="29"/>
          <w:szCs w:val="29"/>
        </w:rPr>
        <w:t>单位：</w:t>
      </w:r>
      <w:r>
        <w:rPr>
          <w:rFonts w:hint="eastAsia" w:ascii="楷体" w:hAnsi="楷体" w:eastAsia="楷体" w:cs="楷体"/>
          <w:spacing w:val="-20"/>
          <w:sz w:val="29"/>
          <w:szCs w:val="29"/>
          <w:lang w:val="en-US" w:eastAsia="zh-CN"/>
        </w:rPr>
        <w:t>双辽市人力资源和社会保障局</w:t>
      </w:r>
      <w:r>
        <w:rPr>
          <w:rFonts w:ascii="楷体" w:hAnsi="楷体" w:eastAsia="楷体" w:cs="楷体"/>
          <w:spacing w:val="73"/>
          <w:sz w:val="29"/>
          <w:szCs w:val="29"/>
        </w:rPr>
        <w:t xml:space="preserve"> </w:t>
      </w:r>
      <w:r>
        <w:rPr>
          <w:rFonts w:ascii="楷体" w:hAnsi="楷体" w:eastAsia="楷体" w:cs="楷体"/>
          <w:spacing w:val="-20"/>
          <w:sz w:val="29"/>
          <w:szCs w:val="29"/>
        </w:rPr>
        <w:t>(公章)</w:t>
      </w:r>
    </w:p>
    <w:p>
      <w:pPr>
        <w:spacing w:line="132" w:lineRule="exact"/>
      </w:pPr>
    </w:p>
    <w:tbl>
      <w:tblPr>
        <w:tblStyle w:val="6"/>
        <w:tblW w:w="13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2908"/>
        <w:gridCol w:w="3138"/>
        <w:gridCol w:w="2518"/>
        <w:gridCol w:w="3257"/>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964" w:type="dxa"/>
            <w:vAlign w:val="center"/>
          </w:tcPr>
          <w:p>
            <w:pPr>
              <w:keepNext w:val="0"/>
              <w:keepLines w:val="0"/>
              <w:pageBreakBefore w:val="0"/>
              <w:widowControl w:val="0"/>
              <w:kinsoku/>
              <w:wordWrap/>
              <w:overflowPunct/>
              <w:topLinePunct w:val="0"/>
              <w:autoSpaceDE/>
              <w:autoSpaceDN/>
              <w:bidi w:val="0"/>
              <w:adjustRightInd/>
              <w:snapToGrid/>
              <w:spacing w:before="323" w:line="221" w:lineRule="auto"/>
              <w:ind w:left="208"/>
              <w:jc w:val="center"/>
              <w:textAlignment w:val="auto"/>
              <w:rPr>
                <w:rFonts w:ascii="宋体" w:hAnsi="宋体" w:eastAsia="宋体" w:cs="宋体"/>
                <w:sz w:val="27"/>
                <w:szCs w:val="27"/>
              </w:rPr>
            </w:pPr>
            <w:r>
              <w:rPr>
                <w:rFonts w:ascii="宋体" w:hAnsi="宋体" w:eastAsia="宋体" w:cs="宋体"/>
                <w:b/>
                <w:bCs/>
                <w:spacing w:val="-6"/>
                <w:sz w:val="27"/>
                <w:szCs w:val="27"/>
              </w:rPr>
              <w:t>序号</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before="323" w:line="220" w:lineRule="auto"/>
              <w:ind w:left="364"/>
              <w:jc w:val="center"/>
              <w:textAlignment w:val="auto"/>
              <w:rPr>
                <w:rFonts w:ascii="宋体" w:hAnsi="宋体" w:eastAsia="宋体" w:cs="宋体"/>
                <w:sz w:val="27"/>
                <w:szCs w:val="27"/>
              </w:rPr>
            </w:pPr>
            <w:r>
              <w:rPr>
                <w:rFonts w:ascii="宋体" w:hAnsi="宋体" w:eastAsia="宋体" w:cs="宋体"/>
                <w:b/>
                <w:bCs/>
                <w:spacing w:val="-3"/>
                <w:sz w:val="27"/>
                <w:szCs w:val="27"/>
              </w:rPr>
              <w:t>首违处罚事项名称</w:t>
            </w:r>
          </w:p>
        </w:tc>
        <w:tc>
          <w:tcPr>
            <w:tcW w:w="3138" w:type="dxa"/>
            <w:vAlign w:val="center"/>
          </w:tcPr>
          <w:p>
            <w:pPr>
              <w:keepNext w:val="0"/>
              <w:keepLines w:val="0"/>
              <w:pageBreakBefore w:val="0"/>
              <w:widowControl w:val="0"/>
              <w:kinsoku/>
              <w:wordWrap/>
              <w:overflowPunct/>
              <w:topLinePunct w:val="0"/>
              <w:autoSpaceDE/>
              <w:autoSpaceDN/>
              <w:bidi w:val="0"/>
              <w:adjustRightInd/>
              <w:snapToGrid/>
              <w:spacing w:before="324" w:line="219" w:lineRule="auto"/>
              <w:ind w:left="613"/>
              <w:jc w:val="center"/>
              <w:textAlignment w:val="auto"/>
              <w:rPr>
                <w:rFonts w:ascii="宋体" w:hAnsi="宋体" w:eastAsia="宋体" w:cs="宋体"/>
                <w:sz w:val="27"/>
                <w:szCs w:val="27"/>
              </w:rPr>
            </w:pPr>
            <w:r>
              <w:rPr>
                <w:rFonts w:ascii="宋体" w:hAnsi="宋体" w:eastAsia="宋体" w:cs="宋体"/>
                <w:b/>
                <w:bCs/>
                <w:spacing w:val="-3"/>
                <w:sz w:val="27"/>
                <w:szCs w:val="27"/>
              </w:rPr>
              <w:t>首违不罚的依据</w:t>
            </w:r>
          </w:p>
        </w:tc>
        <w:tc>
          <w:tcPr>
            <w:tcW w:w="2518" w:type="dxa"/>
            <w:vAlign w:val="center"/>
          </w:tcPr>
          <w:p>
            <w:pPr>
              <w:keepNext w:val="0"/>
              <w:keepLines w:val="0"/>
              <w:pageBreakBefore w:val="0"/>
              <w:widowControl w:val="0"/>
              <w:kinsoku/>
              <w:wordWrap/>
              <w:overflowPunct/>
              <w:topLinePunct w:val="0"/>
              <w:autoSpaceDE/>
              <w:autoSpaceDN/>
              <w:bidi w:val="0"/>
              <w:adjustRightInd/>
              <w:snapToGrid/>
              <w:spacing w:before="326" w:line="220" w:lineRule="auto"/>
              <w:ind w:left="305"/>
              <w:jc w:val="center"/>
              <w:textAlignment w:val="auto"/>
              <w:rPr>
                <w:rFonts w:ascii="宋体" w:hAnsi="宋体" w:eastAsia="宋体" w:cs="宋体"/>
                <w:sz w:val="27"/>
                <w:szCs w:val="27"/>
              </w:rPr>
            </w:pPr>
            <w:r>
              <w:rPr>
                <w:rFonts w:ascii="宋体" w:hAnsi="宋体" w:eastAsia="宋体" w:cs="宋体"/>
                <w:b/>
                <w:bCs/>
                <w:spacing w:val="-3"/>
                <w:sz w:val="27"/>
                <w:szCs w:val="27"/>
              </w:rPr>
              <w:t>首违不罚的情形</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before="324" w:line="219" w:lineRule="auto"/>
              <w:ind w:left="1086"/>
              <w:jc w:val="center"/>
              <w:textAlignment w:val="auto"/>
              <w:rPr>
                <w:rFonts w:ascii="宋体" w:hAnsi="宋体" w:eastAsia="宋体" w:cs="宋体"/>
                <w:sz w:val="27"/>
                <w:szCs w:val="27"/>
              </w:rPr>
            </w:pPr>
            <w:r>
              <w:rPr>
                <w:rFonts w:ascii="宋体" w:hAnsi="宋体" w:eastAsia="宋体" w:cs="宋体"/>
                <w:b w:val="0"/>
                <w:bCs w:val="0"/>
                <w:spacing w:val="-3"/>
                <w:sz w:val="27"/>
                <w:szCs w:val="27"/>
              </w:rPr>
              <w:t>实施机关</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before="323" w:line="221" w:lineRule="auto"/>
              <w:ind w:left="413"/>
              <w:jc w:val="center"/>
              <w:textAlignment w:val="auto"/>
              <w:rPr>
                <w:rFonts w:ascii="宋体" w:hAnsi="宋体" w:eastAsia="宋体" w:cs="宋体"/>
                <w:sz w:val="27"/>
                <w:szCs w:val="27"/>
              </w:rPr>
            </w:pPr>
            <w:r>
              <w:rPr>
                <w:rFonts w:ascii="宋体" w:hAnsi="宋体" w:eastAsia="宋体" w:cs="宋体"/>
                <w:b/>
                <w:bCs/>
                <w:spacing w:val="-7"/>
                <w:sz w:val="27"/>
                <w:szCs w:val="2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eastAsiaTheme="minorEastAsia"/>
                <w:sz w:val="21"/>
                <w:lang w:val="en-US" w:eastAsia="zh-CN"/>
              </w:rPr>
            </w:pPr>
            <w:r>
              <w:rPr>
                <w:rFonts w:hint="eastAsia" w:ascii="Arial"/>
                <w:sz w:val="21"/>
                <w:lang w:val="en-US" w:eastAsia="zh-CN"/>
              </w:rPr>
              <w:t>1</w:t>
            </w:r>
          </w:p>
        </w:tc>
        <w:tc>
          <w:tcPr>
            <w:tcW w:w="29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缴费单位未按照规定办理社会保障登记、变更登记或者注销登记，或者未按照规定申报应缴纳的社会保障费数额的</w:t>
            </w:r>
          </w:p>
        </w:tc>
        <w:tc>
          <w:tcPr>
            <w:tcW w:w="31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25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eastAsiaTheme="minorEastAsia"/>
                <w:sz w:val="21"/>
                <w:lang w:eastAsia="zh-CN"/>
              </w:rPr>
            </w:pPr>
            <w:r>
              <w:rPr>
                <w:rFonts w:hint="eastAsia" w:ascii="Arial"/>
                <w:sz w:val="21"/>
              </w:rPr>
              <w:t>初次违法且危害后果轻微并及时改正，没有造成危害后果的</w:t>
            </w:r>
            <w:r>
              <w:rPr>
                <w:rFonts w:hint="eastAsia" w:ascii="Arial"/>
                <w:sz w:val="21"/>
                <w:lang w:eastAsia="zh-CN"/>
              </w:rPr>
              <w:t>。</w:t>
            </w:r>
          </w:p>
        </w:tc>
        <w:tc>
          <w:tcPr>
            <w:tcW w:w="3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lang w:val="en-US" w:eastAsia="zh-CN"/>
              </w:rPr>
              <w:t>双辽市</w:t>
            </w:r>
            <w:r>
              <w:rPr>
                <w:rFonts w:hint="eastAsia" w:ascii="Arial"/>
                <w:sz w:val="21"/>
              </w:rPr>
              <w:t>人力资源和社会保障局</w:t>
            </w:r>
          </w:p>
        </w:tc>
        <w:tc>
          <w:tcPr>
            <w:tcW w:w="11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eastAsiaTheme="minorEastAsia"/>
                <w:sz w:val="21"/>
                <w:lang w:val="en-US" w:eastAsia="zh-CN"/>
              </w:rPr>
            </w:pPr>
            <w:r>
              <w:rPr>
                <w:rFonts w:hint="eastAsia" w:ascii="Arial"/>
                <w:sz w:val="21"/>
                <w:lang w:val="en-US" w:eastAsia="zh-CN"/>
              </w:rPr>
              <w:t>2</w:t>
            </w:r>
          </w:p>
        </w:tc>
        <w:tc>
          <w:tcPr>
            <w:tcW w:w="29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未按时足额缴纳社会保障费的</w:t>
            </w:r>
          </w:p>
        </w:tc>
        <w:tc>
          <w:tcPr>
            <w:tcW w:w="31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25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初次违法且危害后果轻微并及时改正，没有造成危害后果的</w:t>
            </w:r>
          </w:p>
        </w:tc>
        <w:tc>
          <w:tcPr>
            <w:tcW w:w="3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lang w:val="en-US" w:eastAsia="zh-CN"/>
              </w:rPr>
              <w:t>双辽市</w:t>
            </w:r>
            <w:r>
              <w:rPr>
                <w:rFonts w:hint="eastAsia" w:ascii="Arial"/>
                <w:sz w:val="21"/>
              </w:rPr>
              <w:t>人力资源和社会保障局</w:t>
            </w:r>
          </w:p>
        </w:tc>
        <w:tc>
          <w:tcPr>
            <w:tcW w:w="11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eastAsiaTheme="minorEastAsia"/>
                <w:sz w:val="21"/>
                <w:lang w:val="en-US" w:eastAsia="zh-CN"/>
              </w:rPr>
            </w:pPr>
            <w:r>
              <w:rPr>
                <w:rFonts w:hint="eastAsia" w:ascii="Arial"/>
                <w:sz w:val="21"/>
                <w:lang w:val="en-US" w:eastAsia="zh-CN"/>
              </w:rPr>
              <w:t>3</w:t>
            </w:r>
          </w:p>
        </w:tc>
        <w:tc>
          <w:tcPr>
            <w:tcW w:w="29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未按月将缴纳社会保障费的明细情况告知职工本人，或者未按规定每年向本单位职工公布本单位全年社会保障费缴纳情况，接受职工监督的</w:t>
            </w:r>
          </w:p>
        </w:tc>
        <w:tc>
          <w:tcPr>
            <w:tcW w:w="31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25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初次违法且危害后果轻微并及时改正，没有造成危害后果的</w:t>
            </w:r>
          </w:p>
        </w:tc>
        <w:tc>
          <w:tcPr>
            <w:tcW w:w="3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lang w:val="en-US" w:eastAsia="zh-CN"/>
              </w:rPr>
              <w:t>双辽市</w:t>
            </w:r>
            <w:r>
              <w:rPr>
                <w:rFonts w:hint="eastAsia" w:ascii="Arial"/>
                <w:sz w:val="21"/>
              </w:rPr>
              <w:t>人力资源和社会保障局</w:t>
            </w:r>
          </w:p>
        </w:tc>
        <w:tc>
          <w:tcPr>
            <w:tcW w:w="11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eastAsiaTheme="minorEastAsia"/>
                <w:sz w:val="21"/>
                <w:lang w:val="en-US" w:eastAsia="zh-CN"/>
              </w:rPr>
            </w:pPr>
            <w:r>
              <w:rPr>
                <w:rFonts w:hint="eastAsia" w:ascii="Arial"/>
                <w:sz w:val="21"/>
                <w:lang w:val="en-US" w:eastAsia="zh-CN"/>
              </w:rPr>
              <w:t>4</w:t>
            </w:r>
          </w:p>
        </w:tc>
        <w:tc>
          <w:tcPr>
            <w:tcW w:w="29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未按规定从缴费个人工资中代扣代缴社会保障费的</w:t>
            </w:r>
          </w:p>
        </w:tc>
        <w:tc>
          <w:tcPr>
            <w:tcW w:w="31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25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初次违法且危害后果轻微并及时改正，没有造成危害后果的</w:t>
            </w:r>
          </w:p>
        </w:tc>
        <w:tc>
          <w:tcPr>
            <w:tcW w:w="3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lang w:val="en-US" w:eastAsia="zh-CN"/>
              </w:rPr>
              <w:t>双辽市</w:t>
            </w:r>
            <w:r>
              <w:rPr>
                <w:rFonts w:hint="eastAsia" w:ascii="Arial"/>
                <w:sz w:val="21"/>
              </w:rPr>
              <w:t>人力资源和社会保障局</w:t>
            </w:r>
          </w:p>
        </w:tc>
        <w:tc>
          <w:tcPr>
            <w:tcW w:w="11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eastAsiaTheme="minorEastAsia"/>
                <w:sz w:val="21"/>
                <w:lang w:val="en-US" w:eastAsia="zh-CN"/>
              </w:rPr>
            </w:pPr>
            <w:r>
              <w:rPr>
                <w:rFonts w:hint="eastAsia" w:ascii="Arial"/>
                <w:sz w:val="21"/>
                <w:lang w:val="en-US" w:eastAsia="zh-CN"/>
              </w:rPr>
              <w:t>5</w:t>
            </w:r>
          </w:p>
        </w:tc>
        <w:tc>
          <w:tcPr>
            <w:tcW w:w="29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经营性人力资源服务机构开展人力资源供求信息的收集和发布等业务，自开展业务之日起15日内未向人力资源社会保障行政部门备案的</w:t>
            </w:r>
          </w:p>
        </w:tc>
        <w:tc>
          <w:tcPr>
            <w:tcW w:w="31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25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初次违法且危害后果轻微并及时改正，没有造成危害后果的</w:t>
            </w:r>
          </w:p>
        </w:tc>
        <w:tc>
          <w:tcPr>
            <w:tcW w:w="3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lang w:val="en-US" w:eastAsia="zh-CN"/>
              </w:rPr>
              <w:t>双辽市</w:t>
            </w:r>
            <w:r>
              <w:rPr>
                <w:rFonts w:hint="eastAsia" w:ascii="Arial"/>
                <w:sz w:val="21"/>
              </w:rPr>
              <w:t>人力资源和社会保障局</w:t>
            </w:r>
          </w:p>
        </w:tc>
        <w:tc>
          <w:tcPr>
            <w:tcW w:w="11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eastAsiaTheme="minorEastAsia"/>
                <w:sz w:val="21"/>
                <w:lang w:val="en-US" w:eastAsia="zh-CN"/>
              </w:rPr>
            </w:pPr>
            <w:r>
              <w:rPr>
                <w:rFonts w:hint="eastAsia" w:ascii="Arial"/>
                <w:sz w:val="21"/>
                <w:lang w:val="en-US" w:eastAsia="zh-CN"/>
              </w:rPr>
              <w:t>6</w:t>
            </w:r>
          </w:p>
        </w:tc>
        <w:tc>
          <w:tcPr>
            <w:tcW w:w="29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经营性人力资源服务机构设立分支机构，自工商登记办理完毕之日起15日内未向分支机构所在地人力资源 社会保障行政部门书面报告的。</w:t>
            </w:r>
          </w:p>
        </w:tc>
        <w:tc>
          <w:tcPr>
            <w:tcW w:w="31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25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初次违法且危害后果轻微并及时改正，没有造成危害后果的</w:t>
            </w:r>
          </w:p>
        </w:tc>
        <w:tc>
          <w:tcPr>
            <w:tcW w:w="3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lang w:val="en-US" w:eastAsia="zh-CN"/>
              </w:rPr>
              <w:t>双辽市</w:t>
            </w:r>
            <w:r>
              <w:rPr>
                <w:rFonts w:hint="eastAsia" w:ascii="Arial"/>
                <w:sz w:val="21"/>
              </w:rPr>
              <w:t>人力资源和社会保障局</w:t>
            </w:r>
          </w:p>
        </w:tc>
        <w:tc>
          <w:tcPr>
            <w:tcW w:w="11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eastAsiaTheme="minorEastAsia"/>
                <w:sz w:val="21"/>
                <w:lang w:val="en-US" w:eastAsia="zh-CN"/>
              </w:rPr>
            </w:pPr>
            <w:r>
              <w:rPr>
                <w:rFonts w:hint="eastAsia" w:ascii="Arial"/>
                <w:sz w:val="21"/>
                <w:lang w:val="en-US" w:eastAsia="zh-CN"/>
              </w:rPr>
              <w:t>7</w:t>
            </w:r>
          </w:p>
        </w:tc>
        <w:tc>
          <w:tcPr>
            <w:tcW w:w="29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经营性人力资源服务机构变更名称、处所、法定代表人或者终止经营活动的，自工商变更登记或者注销登记办理完毕15日内，未按规定向人力资源和社会保障行政部门提交书面报告的。</w:t>
            </w:r>
          </w:p>
        </w:tc>
        <w:tc>
          <w:tcPr>
            <w:tcW w:w="31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25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rPr>
              <w:t>初次违法且危害后果轻微并及时改正，没有造成危害后果的</w:t>
            </w:r>
          </w:p>
        </w:tc>
        <w:tc>
          <w:tcPr>
            <w:tcW w:w="3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r>
              <w:rPr>
                <w:rFonts w:hint="eastAsia" w:ascii="Arial"/>
                <w:sz w:val="21"/>
                <w:lang w:val="en-US" w:eastAsia="zh-CN"/>
              </w:rPr>
              <w:t>双辽市</w:t>
            </w:r>
            <w:r>
              <w:rPr>
                <w:rFonts w:hint="eastAsia" w:ascii="Arial"/>
                <w:sz w:val="21"/>
              </w:rPr>
              <w:t>人力资源和社会保障局</w:t>
            </w:r>
          </w:p>
        </w:tc>
        <w:tc>
          <w:tcPr>
            <w:tcW w:w="11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Arial"/>
                <w:sz w:val="21"/>
                <w:lang w:val="en-US" w:eastAsia="zh-CN"/>
              </w:rPr>
            </w:pPr>
            <w:r>
              <w:rPr>
                <w:rFonts w:hint="eastAsia" w:ascii="Arial"/>
                <w:sz w:val="21"/>
                <w:lang w:val="en-US" w:eastAsia="zh-CN"/>
              </w:rPr>
              <w:t>8</w:t>
            </w:r>
          </w:p>
        </w:tc>
        <w:tc>
          <w:tcPr>
            <w:tcW w:w="29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sz w:val="21"/>
              </w:rPr>
            </w:pPr>
            <w:r>
              <w:rPr>
                <w:rFonts w:hint="eastAsia" w:ascii="Arial"/>
                <w:sz w:val="21"/>
              </w:rPr>
              <w:t>经营性人力资源服务机构未按规定在服务场所明示营火业执照、服务项目、收费标准、监督机关和监督电话的</w:t>
            </w:r>
          </w:p>
        </w:tc>
        <w:tc>
          <w:tcPr>
            <w:tcW w:w="31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sz w:val="21"/>
              </w:rPr>
            </w:pPr>
            <w:r>
              <w:rPr>
                <w:rFonts w:hint="eastAsia" w:ascii="Arial"/>
                <w:sz w:val="21"/>
              </w:rPr>
              <w:t>《行政处罚法》第三十三条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25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sz w:val="21"/>
              </w:rPr>
            </w:pPr>
            <w:r>
              <w:rPr>
                <w:rFonts w:hint="eastAsia" w:ascii="Arial"/>
                <w:sz w:val="21"/>
              </w:rPr>
              <w:t>初次违法且危害后果轻微并及时改正，没有造成危害后果的</w:t>
            </w:r>
          </w:p>
        </w:tc>
        <w:tc>
          <w:tcPr>
            <w:tcW w:w="3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sz w:val="21"/>
                <w:lang w:val="en-US" w:eastAsia="zh-CN"/>
              </w:rPr>
            </w:pPr>
            <w:r>
              <w:rPr>
                <w:rFonts w:hint="eastAsia" w:ascii="Arial"/>
                <w:sz w:val="21"/>
                <w:lang w:val="en-US" w:eastAsia="zh-CN"/>
              </w:rPr>
              <w:t>双辽市</w:t>
            </w:r>
            <w:r>
              <w:rPr>
                <w:rFonts w:hint="eastAsia" w:ascii="Arial"/>
                <w:sz w:val="21"/>
              </w:rPr>
              <w:t>人力资源和社会保障局</w:t>
            </w:r>
          </w:p>
        </w:tc>
        <w:tc>
          <w:tcPr>
            <w:tcW w:w="11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Arial"/>
                <w:sz w:val="21"/>
                <w:lang w:val="en-US" w:eastAsia="zh-CN"/>
              </w:rPr>
            </w:pPr>
            <w:r>
              <w:rPr>
                <w:rFonts w:hint="eastAsia" w:ascii="Arial"/>
                <w:sz w:val="21"/>
                <w:lang w:val="en-US" w:eastAsia="zh-CN"/>
              </w:rPr>
              <w:t>9</w:t>
            </w:r>
          </w:p>
        </w:tc>
        <w:tc>
          <w:tcPr>
            <w:tcW w:w="29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sz w:val="21"/>
              </w:rPr>
            </w:pPr>
            <w:r>
              <w:rPr>
                <w:rFonts w:hint="eastAsia" w:ascii="Arial"/>
                <w:sz w:val="21"/>
              </w:rPr>
              <w:t>用人单位自主招用人员，未依法与劳动者订立劳动合同，或者未按照国家有关规定办理社会保障等相关手续的</w:t>
            </w:r>
          </w:p>
        </w:tc>
        <w:tc>
          <w:tcPr>
            <w:tcW w:w="31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sz w:val="21"/>
              </w:rPr>
            </w:pPr>
            <w:r>
              <w:rPr>
                <w:rFonts w:hint="eastAsia" w:ascii="Arial"/>
                <w:sz w:val="21"/>
              </w:rPr>
              <w:t>《行政处罚法》第三十三条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25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sz w:val="21"/>
              </w:rPr>
            </w:pPr>
            <w:r>
              <w:rPr>
                <w:rFonts w:hint="eastAsia" w:ascii="Arial"/>
                <w:sz w:val="21"/>
              </w:rPr>
              <w:t>初次违法且危害后果轻微并及时改正，没有造成危害后果的</w:t>
            </w:r>
          </w:p>
        </w:tc>
        <w:tc>
          <w:tcPr>
            <w:tcW w:w="3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sz w:val="21"/>
                <w:lang w:val="en-US" w:eastAsia="zh-CN"/>
              </w:rPr>
            </w:pPr>
            <w:r>
              <w:rPr>
                <w:rFonts w:hint="eastAsia" w:ascii="Arial"/>
                <w:sz w:val="21"/>
                <w:lang w:val="en-US" w:eastAsia="zh-CN"/>
              </w:rPr>
              <w:t>双辽市</w:t>
            </w:r>
            <w:r>
              <w:rPr>
                <w:rFonts w:hint="eastAsia" w:ascii="Arial"/>
                <w:sz w:val="21"/>
              </w:rPr>
              <w:t>人力资源和社会保障局</w:t>
            </w:r>
          </w:p>
        </w:tc>
        <w:tc>
          <w:tcPr>
            <w:tcW w:w="11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Arial"/>
                <w:sz w:val="21"/>
                <w:lang w:val="en-US" w:eastAsia="zh-CN"/>
              </w:rPr>
            </w:pPr>
            <w:r>
              <w:rPr>
                <w:rFonts w:hint="eastAsia" w:ascii="Arial"/>
                <w:sz w:val="21"/>
                <w:lang w:val="en-US" w:eastAsia="zh-CN"/>
              </w:rPr>
              <w:t>10</w:t>
            </w:r>
          </w:p>
        </w:tc>
        <w:tc>
          <w:tcPr>
            <w:tcW w:w="29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sz w:val="21"/>
              </w:rPr>
            </w:pPr>
            <w:r>
              <w:rPr>
                <w:rFonts w:hint="eastAsia" w:ascii="Arial"/>
                <w:sz w:val="21"/>
              </w:rPr>
              <w:t>与劳动者建立劳动前系不依法订立劳动合同，未损害劳动者利益，与劳动者达成和解的。</w:t>
            </w:r>
          </w:p>
        </w:tc>
        <w:tc>
          <w:tcPr>
            <w:tcW w:w="31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sz w:val="21"/>
              </w:rPr>
            </w:pPr>
            <w:r>
              <w:rPr>
                <w:rFonts w:hint="eastAsia" w:ascii="Arial"/>
                <w:sz w:val="21"/>
              </w:rPr>
              <w:t>《行政处罚法》第三十三条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25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sz w:val="21"/>
              </w:rPr>
            </w:pPr>
            <w:r>
              <w:rPr>
                <w:rFonts w:hint="eastAsia" w:ascii="Arial"/>
                <w:sz w:val="21"/>
              </w:rPr>
              <w:t>初次违法且危害后果轻微并及时改正，没有造成危害后果的</w:t>
            </w:r>
          </w:p>
        </w:tc>
        <w:tc>
          <w:tcPr>
            <w:tcW w:w="3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sz w:val="21"/>
                <w:lang w:val="en-US" w:eastAsia="zh-CN"/>
              </w:rPr>
            </w:pPr>
            <w:r>
              <w:rPr>
                <w:rFonts w:hint="eastAsia" w:ascii="Arial"/>
                <w:sz w:val="21"/>
                <w:lang w:val="en-US" w:eastAsia="zh-CN"/>
              </w:rPr>
              <w:t>双辽市</w:t>
            </w:r>
            <w:r>
              <w:rPr>
                <w:rFonts w:hint="eastAsia" w:ascii="Arial"/>
                <w:sz w:val="21"/>
              </w:rPr>
              <w:t>人力资源和社会保障局</w:t>
            </w:r>
          </w:p>
        </w:tc>
        <w:tc>
          <w:tcPr>
            <w:tcW w:w="11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Arial"/>
                <w:sz w:val="21"/>
                <w:lang w:val="en-US" w:eastAsia="zh-CN"/>
              </w:rPr>
            </w:pPr>
            <w:r>
              <w:rPr>
                <w:rFonts w:hint="eastAsia" w:ascii="Arial"/>
                <w:sz w:val="21"/>
                <w:lang w:val="en-US" w:eastAsia="zh-CN"/>
              </w:rPr>
              <w:t>11</w:t>
            </w:r>
          </w:p>
        </w:tc>
        <w:tc>
          <w:tcPr>
            <w:tcW w:w="29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sz w:val="21"/>
              </w:rPr>
            </w:pPr>
            <w:r>
              <w:rPr>
                <w:rFonts w:hint="eastAsia" w:ascii="Arial"/>
                <w:sz w:val="21"/>
              </w:rPr>
              <w:t>解除劳动合同未依法给予劳动者经济补偿，在规定时限完成整改的</w:t>
            </w:r>
          </w:p>
        </w:tc>
        <w:tc>
          <w:tcPr>
            <w:tcW w:w="31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sz w:val="21"/>
              </w:rPr>
            </w:pPr>
            <w:r>
              <w:rPr>
                <w:rFonts w:hint="eastAsia" w:ascii="Arial"/>
                <w:sz w:val="21"/>
              </w:rPr>
              <w:t>《行政处罚法》第三十三条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25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sz w:val="21"/>
              </w:rPr>
            </w:pPr>
            <w:r>
              <w:rPr>
                <w:rFonts w:hint="eastAsia" w:ascii="Arial"/>
                <w:sz w:val="21"/>
              </w:rPr>
              <w:t>初次违法且危害后果轻微并及时改正，没有造成危害后果的</w:t>
            </w:r>
          </w:p>
        </w:tc>
        <w:tc>
          <w:tcPr>
            <w:tcW w:w="3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Arial"/>
                <w:sz w:val="21"/>
                <w:lang w:val="en-US" w:eastAsia="zh-CN"/>
              </w:rPr>
            </w:pPr>
            <w:r>
              <w:rPr>
                <w:rFonts w:hint="eastAsia" w:ascii="Arial"/>
                <w:sz w:val="21"/>
                <w:lang w:val="en-US" w:eastAsia="zh-CN"/>
              </w:rPr>
              <w:t>双辽市</w:t>
            </w:r>
            <w:r>
              <w:rPr>
                <w:rFonts w:hint="eastAsia" w:ascii="Arial"/>
                <w:sz w:val="21"/>
              </w:rPr>
              <w:t>人力资源和社会保障局</w:t>
            </w:r>
          </w:p>
        </w:tc>
        <w:tc>
          <w:tcPr>
            <w:tcW w:w="11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bl>
    <w:p>
      <w:pPr>
        <w:sectPr>
          <w:footerReference r:id="rId3" w:type="default"/>
          <w:pgSz w:w="16838" w:h="11906" w:orient="landscape"/>
          <w:pgMar w:top="1800" w:right="1440" w:bottom="1800" w:left="1440" w:header="851" w:footer="992" w:gutter="0"/>
          <w:pgNumType w:fmt="decimal"/>
          <w:cols w:space="425" w:num="1"/>
          <w:docGrid w:type="lines" w:linePitch="312" w:charSpace="0"/>
        </w:sectPr>
      </w:pPr>
      <w:bookmarkStart w:id="0" w:name="_GoBack"/>
      <w:bookmarkEnd w:id="0"/>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Mjc1YTA1Y2MwOWNlNGZlY2Q3MjFmOTYxNmM4ZWEifQ=="/>
  </w:docVars>
  <w:rsids>
    <w:rsidRoot w:val="5E840D48"/>
    <w:rsid w:val="0DF055EE"/>
    <w:rsid w:val="1E14785E"/>
    <w:rsid w:val="44411EBC"/>
    <w:rsid w:val="5E84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2619</Words>
  <Characters>2624</Characters>
  <Lines>0</Lines>
  <Paragraphs>0</Paragraphs>
  <TotalTime>3</TotalTime>
  <ScaleCrop>false</ScaleCrop>
  <LinksUpToDate>false</LinksUpToDate>
  <CharactersWithSpaces>2637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2023-10-09T02:57:00Z</dcterms:created>
  <dc:creator>甜甜</dc:creator>
  <cp:lastModifiedBy>青宓</cp:lastModifiedBy>
  <cp:lastPrinted>2023-10-18T01:30:00Z</cp:lastPrinted>
  <dcterms:modified xsi:type="dcterms:W3CDTF">2023-10-18T02:08:04Z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02447EA5CA01476692544BC847CBB9E4_13</vt:lpwstr>
  </property>
</Properties>
</file>