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3" w:line="219" w:lineRule="auto"/>
        <w:jc w:val="center"/>
        <w:rPr>
          <w:rFonts w:ascii="Arial"/>
          <w:sz w:val="21"/>
        </w:rPr>
      </w:pPr>
      <w:r>
        <w:rPr>
          <w:rFonts w:hint="eastAsia" w:ascii="宋体" w:hAnsi="宋体" w:eastAsia="宋体" w:cs="宋体"/>
          <w:b/>
          <w:bCs/>
          <w:spacing w:val="13"/>
          <w:sz w:val="44"/>
          <w:szCs w:val="44"/>
          <w:lang w:val="en-US" w:eastAsia="zh-CN"/>
        </w:rPr>
        <w:t>双辽</w:t>
      </w:r>
      <w:r>
        <w:rPr>
          <w:rFonts w:ascii="宋体" w:hAnsi="宋体" w:eastAsia="宋体" w:cs="宋体"/>
          <w:b/>
          <w:bCs/>
          <w:spacing w:val="13"/>
          <w:sz w:val="44"/>
          <w:szCs w:val="44"/>
        </w:rPr>
        <w:t>市</w:t>
      </w:r>
      <w:r>
        <w:rPr>
          <w:rFonts w:hint="eastAsia" w:ascii="宋体" w:hAnsi="宋体" w:eastAsia="宋体" w:cs="宋体"/>
          <w:b/>
          <w:bCs/>
          <w:spacing w:val="13"/>
          <w:sz w:val="44"/>
          <w:szCs w:val="44"/>
          <w:lang w:eastAsia="zh-CN"/>
        </w:rPr>
        <w:t>住建局</w:t>
      </w:r>
      <w:bookmarkStart w:id="0" w:name="_GoBack"/>
      <w:bookmarkEnd w:id="0"/>
      <w:r>
        <w:rPr>
          <w:rFonts w:ascii="宋体" w:hAnsi="宋体" w:eastAsia="宋体" w:cs="宋体"/>
          <w:b/>
          <w:bCs/>
          <w:spacing w:val="13"/>
          <w:sz w:val="44"/>
          <w:szCs w:val="44"/>
        </w:rPr>
        <w:t>首违不罚事项清单</w:t>
      </w:r>
    </w:p>
    <w:p>
      <w:pPr>
        <w:spacing w:before="94" w:line="225" w:lineRule="auto"/>
        <w:ind w:left="4"/>
        <w:rPr>
          <w:rFonts w:hint="eastAsia" w:ascii="楷体" w:hAnsi="楷体" w:eastAsia="楷体" w:cs="楷体"/>
          <w:sz w:val="29"/>
          <w:szCs w:val="29"/>
          <w:lang w:eastAsia="zh-CN"/>
        </w:rPr>
      </w:pPr>
      <w:r>
        <w:rPr>
          <w:rFonts w:ascii="楷体" w:hAnsi="楷体" w:eastAsia="楷体" w:cs="楷体"/>
          <w:spacing w:val="-20"/>
          <w:sz w:val="29"/>
          <w:szCs w:val="29"/>
        </w:rPr>
        <w:t>单位：</w:t>
      </w:r>
      <w:r>
        <w:rPr>
          <w:rFonts w:hint="eastAsia" w:ascii="楷体" w:hAnsi="楷体" w:eastAsia="楷体" w:cs="楷体"/>
          <w:spacing w:val="-20"/>
          <w:sz w:val="29"/>
          <w:szCs w:val="29"/>
          <w:lang w:eastAsia="zh-CN"/>
        </w:rPr>
        <w:t>双辽市住房和城乡建设局</w:t>
      </w:r>
    </w:p>
    <w:p>
      <w:pPr>
        <w:spacing w:line="132" w:lineRule="exact"/>
      </w:pPr>
    </w:p>
    <w:tbl>
      <w:tblPr>
        <w:tblStyle w:val="6"/>
        <w:tblW w:w="139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64"/>
        <w:gridCol w:w="2385"/>
        <w:gridCol w:w="5407"/>
        <w:gridCol w:w="2343"/>
        <w:gridCol w:w="1475"/>
        <w:gridCol w:w="13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64" w:hRule="atLeast"/>
        </w:trPr>
        <w:tc>
          <w:tcPr>
            <w:tcW w:w="964" w:type="dxa"/>
            <w:vAlign w:val="top"/>
          </w:tcPr>
          <w:p>
            <w:pPr>
              <w:spacing w:before="323" w:line="221" w:lineRule="auto"/>
              <w:ind w:left="208"/>
              <w:rPr>
                <w:rFonts w:ascii="宋体" w:hAnsi="宋体" w:eastAsia="宋体" w:cs="宋体"/>
                <w:sz w:val="27"/>
                <w:szCs w:val="27"/>
              </w:rPr>
            </w:pPr>
            <w:r>
              <w:rPr>
                <w:rFonts w:ascii="宋体" w:hAnsi="宋体" w:eastAsia="宋体" w:cs="宋体"/>
                <w:b/>
                <w:bCs/>
                <w:spacing w:val="-6"/>
                <w:sz w:val="27"/>
                <w:szCs w:val="27"/>
              </w:rPr>
              <w:t>序号</w:t>
            </w:r>
          </w:p>
        </w:tc>
        <w:tc>
          <w:tcPr>
            <w:tcW w:w="2385" w:type="dxa"/>
            <w:vAlign w:val="top"/>
          </w:tcPr>
          <w:p>
            <w:pPr>
              <w:spacing w:before="323" w:line="220" w:lineRule="auto"/>
              <w:jc w:val="center"/>
              <w:rPr>
                <w:rFonts w:ascii="宋体" w:hAnsi="宋体" w:eastAsia="宋体" w:cs="宋体"/>
                <w:sz w:val="27"/>
                <w:szCs w:val="27"/>
              </w:rPr>
            </w:pPr>
            <w:r>
              <w:rPr>
                <w:rFonts w:ascii="宋体" w:hAnsi="宋体" w:eastAsia="宋体" w:cs="宋体"/>
                <w:b/>
                <w:bCs/>
                <w:spacing w:val="-3"/>
                <w:sz w:val="27"/>
                <w:szCs w:val="27"/>
              </w:rPr>
              <w:t>首违处罚事项名称</w:t>
            </w:r>
          </w:p>
        </w:tc>
        <w:tc>
          <w:tcPr>
            <w:tcW w:w="5407" w:type="dxa"/>
            <w:vAlign w:val="top"/>
          </w:tcPr>
          <w:p>
            <w:pPr>
              <w:spacing w:before="324" w:line="219" w:lineRule="auto"/>
              <w:jc w:val="center"/>
              <w:rPr>
                <w:rFonts w:ascii="宋体" w:hAnsi="宋体" w:eastAsia="宋体" w:cs="宋体"/>
                <w:color w:val="000000" w:themeColor="text1"/>
                <w:sz w:val="27"/>
                <w:szCs w:val="27"/>
                <w14:textFill>
                  <w14:solidFill>
                    <w14:schemeClr w14:val="tx1"/>
                  </w14:solidFill>
                </w14:textFill>
              </w:rPr>
            </w:pPr>
            <w:r>
              <w:rPr>
                <w:rFonts w:ascii="宋体" w:hAnsi="宋体" w:eastAsia="宋体" w:cs="宋体"/>
                <w:color w:val="000000" w:themeColor="text1"/>
                <w:spacing w:val="2"/>
                <w:sz w:val="27"/>
                <w:szCs w:val="27"/>
                <w14:textFill>
                  <w14:solidFill>
                    <w14:schemeClr w14:val="tx1"/>
                  </w14:solidFill>
                </w14:textFill>
              </w:rPr>
              <w:t>首违不罚的依据</w:t>
            </w:r>
          </w:p>
        </w:tc>
        <w:tc>
          <w:tcPr>
            <w:tcW w:w="2343" w:type="dxa"/>
            <w:vAlign w:val="top"/>
          </w:tcPr>
          <w:p>
            <w:pPr>
              <w:spacing w:before="326" w:line="220" w:lineRule="auto"/>
              <w:jc w:val="center"/>
              <w:rPr>
                <w:rFonts w:ascii="宋体" w:hAnsi="宋体" w:eastAsia="宋体" w:cs="宋体"/>
                <w:color w:val="000000" w:themeColor="text1"/>
                <w:sz w:val="27"/>
                <w:szCs w:val="27"/>
                <w14:textFill>
                  <w14:solidFill>
                    <w14:schemeClr w14:val="tx1"/>
                  </w14:solidFill>
                </w14:textFill>
              </w:rPr>
            </w:pPr>
            <w:r>
              <w:rPr>
                <w:rFonts w:ascii="宋体" w:hAnsi="宋体" w:eastAsia="宋体" w:cs="宋体"/>
                <w:color w:val="000000" w:themeColor="text1"/>
                <w:spacing w:val="1"/>
                <w:sz w:val="27"/>
                <w:szCs w:val="27"/>
                <w14:textFill>
                  <w14:solidFill>
                    <w14:schemeClr w14:val="tx1"/>
                  </w14:solidFill>
                </w14:textFill>
              </w:rPr>
              <w:t>首违不罚的情形</w:t>
            </w:r>
          </w:p>
        </w:tc>
        <w:tc>
          <w:tcPr>
            <w:tcW w:w="1475" w:type="dxa"/>
            <w:vAlign w:val="top"/>
          </w:tcPr>
          <w:p>
            <w:pPr>
              <w:spacing w:before="324" w:line="219" w:lineRule="auto"/>
              <w:jc w:val="center"/>
              <w:rPr>
                <w:rFonts w:ascii="宋体" w:hAnsi="宋体" w:eastAsia="宋体" w:cs="宋体"/>
                <w:sz w:val="27"/>
                <w:szCs w:val="27"/>
              </w:rPr>
            </w:pPr>
            <w:r>
              <w:rPr>
                <w:rFonts w:ascii="宋体" w:hAnsi="宋体" w:eastAsia="宋体" w:cs="宋体"/>
                <w:spacing w:val="3"/>
                <w:sz w:val="27"/>
                <w:szCs w:val="27"/>
              </w:rPr>
              <w:t>实施机关</w:t>
            </w:r>
          </w:p>
        </w:tc>
        <w:tc>
          <w:tcPr>
            <w:tcW w:w="1395" w:type="dxa"/>
            <w:vAlign w:val="top"/>
          </w:tcPr>
          <w:p>
            <w:pPr>
              <w:spacing w:before="323" w:line="221" w:lineRule="auto"/>
              <w:jc w:val="center"/>
              <w:rPr>
                <w:rFonts w:ascii="宋体" w:hAnsi="宋体" w:eastAsia="宋体" w:cs="宋体"/>
                <w:sz w:val="27"/>
                <w:szCs w:val="27"/>
              </w:rPr>
            </w:pPr>
            <w:r>
              <w:rPr>
                <w:rFonts w:ascii="宋体" w:hAnsi="宋体" w:eastAsia="宋体" w:cs="宋体"/>
                <w:b/>
                <w:bCs/>
                <w:spacing w:val="-7"/>
                <w:sz w:val="27"/>
                <w:szCs w:val="27"/>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13"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w:t>
            </w:r>
          </w:p>
        </w:tc>
        <w:tc>
          <w:tcPr>
            <w:tcW w:w="2385" w:type="dxa"/>
            <w:vAlign w:val="top"/>
          </w:tcPr>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对</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擅自操作公用燃气阀门的</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处罚</w:t>
            </w:r>
          </w:p>
        </w:tc>
        <w:tc>
          <w:tcPr>
            <w:tcW w:w="5407" w:type="dxa"/>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《城镇燃气管理条例》</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第四十九条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instrText xml:space="preserve"> HYPERLINK "https://baike.so.com/doc/6935402-7157758.html" \t "https://baike.so.com/doc/_blank" </w:instrTex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separate"/>
            </w:r>
            <w:r>
              <w:rPr>
                <w:rStyle w:val="5"/>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治安管理处罚</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的法律规定进行处罚。</w:t>
            </w:r>
          </w:p>
        </w:tc>
        <w:tc>
          <w:tcPr>
            <w:tcW w:w="2343" w:type="dxa"/>
            <w:vAlign w:val="top"/>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 xml:space="preserve">3、能及时改正的。   </w:t>
            </w:r>
          </w:p>
        </w:tc>
        <w:tc>
          <w:tcPr>
            <w:tcW w:w="1475" w:type="dxa"/>
            <w:vAlign w:val="top"/>
          </w:tcPr>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w:t>
            </w:r>
          </w:p>
        </w:tc>
        <w:tc>
          <w:tcPr>
            <w:tcW w:w="2385" w:type="dxa"/>
            <w:vAlign w:val="top"/>
          </w:tcPr>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i w:val="0"/>
                <w:iCs w:val="0"/>
                <w:caps w:val="0"/>
                <w:color w:val="333333"/>
                <w:spacing w:val="0"/>
                <w:sz w:val="24"/>
                <w:szCs w:val="24"/>
                <w:shd w:val="clear" w:fill="FFFFFF"/>
                <w:lang w:eastAsia="zh-CN"/>
              </w:rPr>
              <w:t>对</w:t>
            </w:r>
            <w:r>
              <w:rPr>
                <w:rFonts w:hint="eastAsia" w:asciiTheme="majorEastAsia" w:hAnsiTheme="majorEastAsia" w:eastAsiaTheme="majorEastAsia" w:cstheme="majorEastAsia"/>
                <w:i w:val="0"/>
                <w:iCs w:val="0"/>
                <w:caps w:val="0"/>
                <w:color w:val="333333"/>
                <w:spacing w:val="0"/>
                <w:sz w:val="24"/>
                <w:szCs w:val="24"/>
                <w:shd w:val="clear" w:fill="FFFFFF"/>
              </w:rPr>
              <w:t>将燃气管道作为负重支架或者接地引线</w:t>
            </w:r>
            <w:r>
              <w:rPr>
                <w:rFonts w:hint="eastAsia" w:asciiTheme="majorEastAsia" w:hAnsiTheme="majorEastAsia" w:eastAsiaTheme="majorEastAsia" w:cstheme="majorEastAsia"/>
                <w:i w:val="0"/>
                <w:iCs w:val="0"/>
                <w:caps w:val="0"/>
                <w:color w:val="333333"/>
                <w:spacing w:val="0"/>
                <w:sz w:val="24"/>
                <w:szCs w:val="24"/>
                <w:shd w:val="clear" w:fill="FFFFFF"/>
                <w:lang w:eastAsia="zh-CN"/>
              </w:rPr>
              <w:t>行为的处罚</w:t>
            </w:r>
          </w:p>
        </w:tc>
        <w:tc>
          <w:tcPr>
            <w:tcW w:w="5407" w:type="dxa"/>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《城镇燃气管理条例》</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第四十九条</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instrText xml:space="preserve"> HYPERLINK "https://baike.so.com/doc/6935402-7157758.html" \t "https://baike.so.com/doc/_blank" </w:instrTex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separate"/>
            </w:r>
            <w:r>
              <w:rPr>
                <w:rStyle w:val="5"/>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治安管理处罚</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的法律规定进行处罚。</w:t>
            </w:r>
          </w:p>
        </w:tc>
        <w:tc>
          <w:tcPr>
            <w:tcW w:w="2343" w:type="dxa"/>
            <w:vAlign w:val="top"/>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top"/>
          </w:tcPr>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8"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3</w:t>
            </w:r>
          </w:p>
        </w:tc>
        <w:tc>
          <w:tcPr>
            <w:tcW w:w="2385" w:type="dxa"/>
            <w:vAlign w:val="top"/>
          </w:tcPr>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对</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安装、使用不符合气源要求的燃气燃烧器具的</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处罚</w:t>
            </w:r>
          </w:p>
        </w:tc>
        <w:tc>
          <w:tcPr>
            <w:tcW w:w="5407" w:type="dxa"/>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《城镇燃气管理条例》</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第四十九条</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instrText xml:space="preserve"> HYPERLINK "https://baike.so.com/doc/6935402-7157758.html" \t "https://baike.so.com/doc/_blank" </w:instrTex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separate"/>
            </w:r>
            <w:r>
              <w:rPr>
                <w:rStyle w:val="5"/>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治安管理处罚</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的法律规定进行处罚。</w:t>
            </w:r>
          </w:p>
        </w:tc>
        <w:tc>
          <w:tcPr>
            <w:tcW w:w="2343" w:type="dxa"/>
            <w:vAlign w:val="top"/>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top"/>
          </w:tcPr>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0"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4</w:t>
            </w:r>
          </w:p>
        </w:tc>
        <w:tc>
          <w:tcPr>
            <w:tcW w:w="2385" w:type="dxa"/>
            <w:vAlign w:val="top"/>
          </w:tcPr>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333333"/>
                <w:spacing w:val="0"/>
                <w:sz w:val="24"/>
                <w:szCs w:val="24"/>
                <w:shd w:val="clear" w:fill="FFFFFF"/>
                <w:lang w:eastAsia="zh-CN"/>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sz w:val="24"/>
                <w:szCs w:val="24"/>
                <w:lang w:eastAsia="zh-CN"/>
              </w:rPr>
            </w:pP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对</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擅自安装、改装、拆除户内燃气设施和燃气计量装置的</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处罚</w:t>
            </w:r>
          </w:p>
        </w:tc>
        <w:tc>
          <w:tcPr>
            <w:tcW w:w="5407" w:type="dxa"/>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《城镇燃气管理条例》</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第四十九条</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instrText xml:space="preserve"> HYPERLINK "https://baike.so.com/doc/6935402-7157758.html" \t "https://baike.so.com/doc/_blank" </w:instrTex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separate"/>
            </w:r>
            <w:r>
              <w:rPr>
                <w:rStyle w:val="5"/>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治安管理处罚</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的法律规定进行处罚。</w:t>
            </w:r>
          </w:p>
        </w:tc>
        <w:tc>
          <w:tcPr>
            <w:tcW w:w="2343" w:type="dxa"/>
            <w:vAlign w:val="top"/>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top"/>
          </w:tcPr>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9"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5</w:t>
            </w:r>
          </w:p>
        </w:tc>
        <w:tc>
          <w:tcPr>
            <w:tcW w:w="2385" w:type="dxa"/>
            <w:vAlign w:val="top"/>
          </w:tcPr>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对</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在不具备安全条件的场所使用、储存燃气的</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处罚</w:t>
            </w:r>
          </w:p>
        </w:tc>
        <w:tc>
          <w:tcPr>
            <w:tcW w:w="5407" w:type="dxa"/>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《城镇燃气管理条例》</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第四十九条</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instrText xml:space="preserve"> HYPERLINK "https://baike.so.com/doc/6935402-7157758.html" \t "https://baike.so.com/doc/_blank" </w:instrTex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separate"/>
            </w:r>
            <w:r>
              <w:rPr>
                <w:rStyle w:val="5"/>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治安管理处罚</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的法律规定进行处罚。</w:t>
            </w:r>
          </w:p>
        </w:tc>
        <w:tc>
          <w:tcPr>
            <w:tcW w:w="2343" w:type="dxa"/>
            <w:vAlign w:val="top"/>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top"/>
          </w:tcPr>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3"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6</w:t>
            </w:r>
          </w:p>
        </w:tc>
        <w:tc>
          <w:tcPr>
            <w:tcW w:w="2385" w:type="dxa"/>
            <w:vAlign w:val="top"/>
          </w:tcPr>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对</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改变燃气用途或者转供燃气的</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处罚</w:t>
            </w:r>
          </w:p>
        </w:tc>
        <w:tc>
          <w:tcPr>
            <w:tcW w:w="5407" w:type="dxa"/>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《城镇燃气管理条例》</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第四十九条</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instrText xml:space="preserve"> HYPERLINK "https://baike.so.com/doc/6935402-7157758.html" \t "https://baike.so.com/doc/_blank" </w:instrTex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separate"/>
            </w:r>
            <w:r>
              <w:rPr>
                <w:rStyle w:val="5"/>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治安管理处罚</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的法律规定进行处罚。</w:t>
            </w:r>
          </w:p>
        </w:tc>
        <w:tc>
          <w:tcPr>
            <w:tcW w:w="2343" w:type="dxa"/>
            <w:vAlign w:val="top"/>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top"/>
          </w:tcPr>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94"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7</w:t>
            </w:r>
          </w:p>
        </w:tc>
        <w:tc>
          <w:tcPr>
            <w:tcW w:w="2385" w:type="dxa"/>
            <w:vAlign w:val="top"/>
          </w:tcPr>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对</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未设立售后服务站点或者未配备经考核合格的燃气燃烧器具安装、维修人员的</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处罚</w:t>
            </w:r>
          </w:p>
        </w:tc>
        <w:tc>
          <w:tcPr>
            <w:tcW w:w="5407" w:type="dxa"/>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《城镇燃气管理条例》</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第四十九条</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instrText xml:space="preserve"> HYPERLINK "https://baike.so.com/doc/6935402-7157758.html" \t "https://baike.so.com/doc/_blank" </w:instrTex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separate"/>
            </w:r>
            <w:r>
              <w:rPr>
                <w:rStyle w:val="5"/>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治安管理处罚</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的法律规定进行处罚。</w:t>
            </w:r>
          </w:p>
        </w:tc>
        <w:tc>
          <w:tcPr>
            <w:tcW w:w="2343" w:type="dxa"/>
            <w:vAlign w:val="top"/>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top"/>
          </w:tcPr>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23"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8</w:t>
            </w:r>
          </w:p>
        </w:tc>
        <w:tc>
          <w:tcPr>
            <w:tcW w:w="2385" w:type="dxa"/>
            <w:vAlign w:val="top"/>
          </w:tcPr>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pPr>
          </w:p>
          <w:p>
            <w:pPr>
              <w:jc w:val="cente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对</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燃气燃烧器具的安装、维修不符合国家有关标准的</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处罚</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w:t>
            </w:r>
          </w:p>
        </w:tc>
        <w:tc>
          <w:tcPr>
            <w:tcW w:w="5407" w:type="dxa"/>
            <w:vAlign w:val="top"/>
          </w:tcPr>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240" w:lineRule="atLeast"/>
              <w:ind w:left="0" w:right="0" w:firstLine="420"/>
              <w:jc w:val="both"/>
              <w:rPr>
                <w:rFonts w:hint="eastAsia" w:asciiTheme="majorEastAsia" w:hAnsiTheme="majorEastAsia" w:eastAsiaTheme="majorEastAsia" w:cstheme="majorEastAsia"/>
                <w:i w:val="0"/>
                <w:iCs w:val="0"/>
                <w:caps w:val="0"/>
                <w:color w:val="000000" w:themeColor="text1"/>
                <w:spacing w:val="0"/>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《城镇燃气管理条例》</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第四十九条</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违反本条例规定，燃气用户及相关单位和个人有下列行为之一的，由燃气管理部门责令限期改正;逾期不改正的，对单位可以处10万元以下罚款，对个人可以处1000元以下罚款;造成损失的，依法承担赔偿责任;构成犯罪的，依法追究刑事责任</w:t>
            </w:r>
            <w:r>
              <w:rPr>
                <w:rFonts w:hint="eastAsia" w:asciiTheme="majorEastAsia" w:hAnsiTheme="majorEastAsia" w:eastAsiaTheme="majorEastAsia" w:cstheme="majorEastAsia"/>
                <w:i w:val="0"/>
                <w:iCs w:val="0"/>
                <w:caps w:val="0"/>
                <w:color w:val="000000" w:themeColor="text1"/>
                <w:spacing w:val="0"/>
                <w:sz w:val="24"/>
                <w:szCs w:val="24"/>
                <w:shd w:val="clear" w:fill="FFFFFF"/>
                <w:lang w:eastAsia="zh-CN"/>
                <w14:textFill>
                  <w14:solidFill>
                    <w14:schemeClr w14:val="tx1"/>
                  </w14:solidFill>
                </w14:textFill>
              </w:rPr>
              <w:t>：</w:t>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一)擅自操作公用燃气阀门的;(二)将燃气管道作为负重支架或者接地引线的;(三)安装、使用不符合气源要求的燃气燃烧器具的;(四)擅自安装、改装、拆除户内燃气设施和燃气计量装置的;(五)在不具备安全条件的场所使用、储存燃气的;(六)改变燃气用途或者转供燃气的;(七)未设立售后服务站点或者未配备经考核合格的燃气燃烧器具安装、维修人员的;(八)燃气燃烧器具的安装、维修不符合国家有关标准的。盗用燃气的，依照有关</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begin"/>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instrText xml:space="preserve"> HYPERLINK "https://baike.so.com/doc/6935402-7157758.html" \t "https://baike.so.com/doc/_blank" </w:instrTex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separate"/>
            </w:r>
            <w:r>
              <w:rPr>
                <w:rStyle w:val="5"/>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t>治安管理处罚</w:t>
            </w:r>
            <w:r>
              <w:rPr>
                <w:rFonts w:hint="eastAsia" w:asciiTheme="majorEastAsia" w:hAnsiTheme="majorEastAsia" w:eastAsiaTheme="majorEastAsia" w:cstheme="majorEastAsia"/>
                <w:i w:val="0"/>
                <w:iCs w:val="0"/>
                <w:caps w:val="0"/>
                <w:color w:val="000000" w:themeColor="text1"/>
                <w:spacing w:val="0"/>
                <w:sz w:val="24"/>
                <w:szCs w:val="24"/>
                <w:u w:val="none"/>
                <w:shd w:val="clear" w:fill="FFFFFF"/>
                <w14:textFill>
                  <w14:solidFill>
                    <w14:schemeClr w14:val="tx1"/>
                  </w14:solidFill>
                </w14:textFill>
              </w:rPr>
              <w:fldChar w:fldCharType="end"/>
            </w:r>
            <w:r>
              <w:rPr>
                <w:rFonts w:hint="eastAsia" w:asciiTheme="majorEastAsia" w:hAnsiTheme="majorEastAsia" w:eastAsiaTheme="majorEastAsia" w:cstheme="majorEastAsia"/>
                <w:i w:val="0"/>
                <w:iCs w:val="0"/>
                <w:caps w:val="0"/>
                <w:color w:val="000000" w:themeColor="text1"/>
                <w:spacing w:val="0"/>
                <w:sz w:val="24"/>
                <w:szCs w:val="24"/>
                <w:shd w:val="clear" w:fill="FFFFFF"/>
                <w14:textFill>
                  <w14:solidFill>
                    <w14:schemeClr w14:val="tx1"/>
                  </w14:solidFill>
                </w14:textFill>
              </w:rPr>
              <w:t>的法律规定进行处罚。</w:t>
            </w:r>
          </w:p>
        </w:tc>
        <w:tc>
          <w:tcPr>
            <w:tcW w:w="2343" w:type="dxa"/>
            <w:vAlign w:val="top"/>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top"/>
          </w:tcPr>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vertAlign w:val="baseline"/>
                <w:lang w:eastAsia="zh-CN"/>
              </w:rPr>
            </w:pPr>
          </w:p>
          <w:p>
            <w:pPr>
              <w:rPr>
                <w:rFonts w:hint="eastAsia" w:asciiTheme="majorEastAsia" w:hAnsiTheme="majorEastAsia" w:eastAsiaTheme="majorEastAsia" w:cstheme="majorEastAsia"/>
                <w:sz w:val="24"/>
                <w:szCs w:val="24"/>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4"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9</w:t>
            </w:r>
          </w:p>
        </w:tc>
        <w:tc>
          <w:tcPr>
            <w:tcW w:w="2385" w:type="dxa"/>
            <w:vAlign w:val="center"/>
          </w:tcPr>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对在商品住宅销售中不按照规定发放住宅质量保证书、住宅使用说明书的处罚</w:t>
            </w: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kern w:val="2"/>
                <w:sz w:val="24"/>
                <w:szCs w:val="24"/>
                <w:vertAlign w:val="baseline"/>
                <w:lang w:val="en-US" w:eastAsia="zh-CN" w:bidi="ar-SA"/>
              </w:rPr>
            </w:pP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9"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10</w:t>
            </w:r>
          </w:p>
        </w:tc>
        <w:tc>
          <w:tcPr>
            <w:tcW w:w="2385" w:type="dxa"/>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对房地产开发企业在销售商品房时，未公示所售商品房的能耗指标等基本信息、未在商品房买卖合同和住宅使用说明书中予以载明、公示或者载明的信息不实的处罚</w:t>
            </w: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numPr>
                <w:ilvl w:val="0"/>
                <w:numId w:val="0"/>
              </w:numPr>
              <w:ind w:left="0" w:leftChars="0" w:firstLine="0" w:firstLineChars="0"/>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11</w:t>
            </w:r>
          </w:p>
        </w:tc>
        <w:tc>
          <w:tcPr>
            <w:tcW w:w="2385" w:type="dxa"/>
            <w:vAlign w:val="center"/>
          </w:tcPr>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对违规销售商品房的处罚</w:t>
            </w: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kern w:val="2"/>
                <w:sz w:val="24"/>
                <w:szCs w:val="24"/>
                <w:vertAlign w:val="baseline"/>
                <w:lang w:val="en-US" w:eastAsia="zh-CN" w:bidi="ar-SA"/>
              </w:rPr>
            </w:pP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11"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12</w:t>
            </w:r>
          </w:p>
        </w:tc>
        <w:tc>
          <w:tcPr>
            <w:tcW w:w="2385" w:type="dxa"/>
            <w:vAlign w:val="center"/>
          </w:tcPr>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对未按规定使用商品房预售款的处罚</w:t>
            </w: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kern w:val="2"/>
                <w:sz w:val="24"/>
                <w:szCs w:val="24"/>
                <w:vertAlign w:val="baseline"/>
                <w:lang w:val="en-US" w:eastAsia="zh-CN" w:bidi="ar-SA"/>
              </w:rPr>
            </w:pP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964" w:type="dxa"/>
            <w:vAlign w:val="top"/>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13</w:t>
            </w:r>
          </w:p>
        </w:tc>
        <w:tc>
          <w:tcPr>
            <w:tcW w:w="2385" w:type="dxa"/>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对采取不正当手段取得商品房预售许可证的处罚</w:t>
            </w: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1475" w:type="dxa"/>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1395" w:type="dxa"/>
            <w:vAlign w:val="top"/>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0" w:type="auto"/>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14</w:t>
            </w:r>
          </w:p>
        </w:tc>
        <w:tc>
          <w:tcPr>
            <w:tcW w:w="0" w:type="auto"/>
            <w:vAlign w:val="center"/>
          </w:tcPr>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对房地产经纪人员以个人名义承接房地产经纪业务和收取费用的,房地产经纪机构提供代办贷款、代办房地产登记等其他服务，未向委托人说明服务内容、收费标准等情况的处罚</w:t>
            </w:r>
          </w:p>
          <w:p>
            <w:pPr>
              <w:jc w:val="center"/>
              <w:rPr>
                <w:rFonts w:hint="eastAsia" w:asciiTheme="majorEastAsia" w:hAnsiTheme="majorEastAsia" w:eastAsiaTheme="majorEastAsia" w:cstheme="majorEastAsia"/>
                <w:sz w:val="24"/>
                <w:szCs w:val="24"/>
                <w:vertAlign w:val="baseline"/>
                <w:lang w:eastAsia="zh-CN"/>
              </w:rPr>
            </w:pPr>
          </w:p>
          <w:p>
            <w:pPr>
              <w:jc w:val="both"/>
              <w:rPr>
                <w:rFonts w:hint="eastAsia" w:asciiTheme="majorEastAsia" w:hAnsiTheme="majorEastAsia" w:eastAsiaTheme="majorEastAsia" w:cstheme="majorEastAsia"/>
                <w:kern w:val="2"/>
                <w:sz w:val="24"/>
                <w:szCs w:val="24"/>
                <w:vertAlign w:val="baseline"/>
                <w:lang w:val="en-US" w:eastAsia="zh-CN" w:bidi="ar-SA"/>
              </w:rPr>
            </w:pP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0" w:type="auto"/>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28" w:hRule="atLeast"/>
        </w:trPr>
        <w:tc>
          <w:tcPr>
            <w:tcW w:w="0" w:type="auto"/>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15</w:t>
            </w:r>
          </w:p>
        </w:tc>
        <w:tc>
          <w:tcPr>
            <w:tcW w:w="0" w:type="auto"/>
            <w:vAlign w:val="center"/>
          </w:tcPr>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对房地产经纪机构擅自对外发布房源信息的处罚</w:t>
            </w: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kern w:val="2"/>
                <w:sz w:val="24"/>
                <w:szCs w:val="24"/>
                <w:vertAlign w:val="baseline"/>
                <w:lang w:val="en-US" w:eastAsia="zh-CN" w:bidi="ar-SA"/>
              </w:rPr>
            </w:pP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0" w:type="auto"/>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8" w:hRule="atLeast"/>
        </w:trPr>
        <w:tc>
          <w:tcPr>
            <w:tcW w:w="0" w:type="auto"/>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16</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对未取得房地产开发企业资质证书，擅自销售商品房的处罚</w:t>
            </w: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0" w:type="auto"/>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97" w:hRule="atLeast"/>
        </w:trPr>
        <w:tc>
          <w:tcPr>
            <w:tcW w:w="0" w:type="auto"/>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17</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对擅自预售商品房的处罚</w:t>
            </w: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0" w:type="auto"/>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16" w:hRule="atLeast"/>
        </w:trPr>
        <w:tc>
          <w:tcPr>
            <w:tcW w:w="0" w:type="auto"/>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18</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对在未解除商品房买卖合同前，将作为合同标的物的商品房再行销售给他人的处罚</w:t>
            </w: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0" w:type="auto"/>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1" w:hRule="atLeast"/>
        </w:trPr>
        <w:tc>
          <w:tcPr>
            <w:tcW w:w="0" w:type="auto"/>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19</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对房地产开发企业未按规定将测绘成果或者需要由其提供的办理房屋权属登记的资料报送房地产行政主管部门的处罚</w:t>
            </w: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0" w:type="auto"/>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90" w:hRule="atLeast"/>
        </w:trPr>
        <w:tc>
          <w:tcPr>
            <w:tcW w:w="0" w:type="auto"/>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20</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房地产中介服务机构代理销售不符合销售条件的商品房的处罚</w:t>
            </w: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0" w:type="auto"/>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66" w:hRule="atLeast"/>
        </w:trPr>
        <w:tc>
          <w:tcPr>
            <w:tcW w:w="0" w:type="auto"/>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21</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对房地产经纪机构擅自划转客户交易结算资金的处罚</w:t>
            </w: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0" w:type="auto"/>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0" w:type="auto"/>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22</w:t>
            </w:r>
          </w:p>
        </w:tc>
        <w:tc>
          <w:tcPr>
            <w:tcW w:w="0" w:type="auto"/>
            <w:vAlign w:val="center"/>
          </w:tcPr>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对房地产经纪机构和房地产经纪人员有以隐瞒、欺诈、胁迫、贿赂等不正当手段招揽业务，诱骗消费者交易或者强制交易，泄露或者不当使用委托人的个人信息或者商业秘密，谋取不正当利益，为交易当事人规避房屋交易税费等非法目的等的处罚</w:t>
            </w:r>
          </w:p>
          <w:p>
            <w:pPr>
              <w:jc w:val="both"/>
              <w:rPr>
                <w:rFonts w:hint="eastAsia" w:asciiTheme="majorEastAsia" w:hAnsiTheme="majorEastAsia" w:eastAsiaTheme="majorEastAsia" w:cstheme="majorEastAsia"/>
                <w:kern w:val="2"/>
                <w:sz w:val="24"/>
                <w:szCs w:val="24"/>
                <w:vertAlign w:val="baseline"/>
                <w:lang w:val="en-US" w:eastAsia="zh-CN" w:bidi="ar-SA"/>
              </w:rPr>
            </w:pPr>
          </w:p>
        </w:tc>
        <w:tc>
          <w:tcPr>
            <w:tcW w:w="5407" w:type="dxa"/>
            <w:vAlign w:val="center"/>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当事人有证据足以证明没有主观过错的，不予行政处罚。法律、行政法规另有规定的，从其规定。对当事人的违法行为依法不予行政处罚的，行政机关应当对当事人进行教育。《吉林省优化营商环境条例》</w:t>
            </w:r>
            <w:r>
              <w:rPr>
                <w:rFonts w:hint="eastAsia" w:asciiTheme="majorEastAsia" w:hAnsiTheme="majorEastAsia" w:eastAsiaTheme="majorEastAsia" w:cstheme="majorEastAsia"/>
                <w:b w:val="0"/>
                <w:bCs/>
                <w:i w:val="0"/>
                <w:snapToGrid/>
                <w:color w:val="000000" w:themeColor="text1"/>
                <w:sz w:val="24"/>
                <w:szCs w:val="24"/>
                <w:shd w:val="clear" w:color="auto" w:fill="FFFFFF"/>
                <w14:textFill>
                  <w14:solidFill>
                    <w14:schemeClr w14:val="tx1"/>
                  </w14:solidFill>
                </w14:textFill>
              </w:rPr>
              <w:t>第四十九条</w:t>
            </w:r>
            <w:r>
              <w:rPr>
                <w:rFonts w:hint="eastAsia" w:asciiTheme="majorEastAsia" w:hAnsiTheme="majorEastAsia" w:eastAsiaTheme="majorEastAsia" w:cstheme="majorEastAsia"/>
                <w:b w:val="0"/>
                <w:bCs/>
                <w:i w:val="0"/>
                <w:snapToGrid/>
                <w:color w:val="000000" w:themeColor="text1"/>
                <w:sz w:val="24"/>
                <w:szCs w:val="24"/>
                <w:shd w:val="clear" w:color="auto" w:fill="FFFFFF"/>
                <w:lang w:eastAsia="zh-CN"/>
                <w14:textFill>
                  <w14:solidFill>
                    <w14:schemeClr w14:val="tx1"/>
                  </w14:solidFill>
                </w14:textFill>
              </w:rPr>
              <w:t>：</w:t>
            </w:r>
            <w:r>
              <w:rPr>
                <w:rFonts w:hint="eastAsia" w:asciiTheme="majorEastAsia" w:hAnsiTheme="majorEastAsia" w:eastAsiaTheme="majorEastAsia" w:cstheme="majorEastAsia"/>
                <w:b w:val="0"/>
                <w:i w:val="0"/>
                <w:snapToGrid/>
                <w:color w:val="000000" w:themeColor="text1"/>
                <w:sz w:val="24"/>
                <w:szCs w:val="24"/>
                <w:shd w:val="clear" w:color="auto" w:fill="FFFFFF"/>
                <w14:textFill>
                  <w14:solidFill>
                    <w14:schemeClr w14:val="tx1"/>
                  </w14:solidFill>
                </w14:textFill>
              </w:rPr>
              <w:t>省人民政府及其有关部门应当依法规范、细化量化行政处罚自由裁量权标准，并予以公示。市场主体违法行为轻微并采取说服教育、劝导示范、行政指导等手段及时纠正，没有造成危害后果的，不予行政处罚。</w:t>
            </w:r>
          </w:p>
        </w:tc>
        <w:tc>
          <w:tcPr>
            <w:tcW w:w="2343" w:type="dxa"/>
            <w:vAlign w:val="center"/>
          </w:tcPr>
          <w:p>
            <w:pPr>
              <w:numPr>
                <w:ilvl w:val="0"/>
                <w:numId w:val="0"/>
              </w:num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1、</w:t>
            </w: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初次违法；</w:t>
            </w:r>
          </w:p>
          <w:p>
            <w:pPr>
              <w:numPr>
                <w:ilvl w:val="0"/>
                <w:numId w:val="0"/>
              </w:numPr>
              <w:jc w:val="left"/>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2、危害后果轻微；</w:t>
            </w:r>
          </w:p>
          <w:p>
            <w:pPr>
              <w:jc w:val="both"/>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val="en-US" w:eastAsia="zh-CN"/>
                <w14:textFill>
                  <w14:solidFill>
                    <w14:schemeClr w14:val="tx1"/>
                  </w14:solidFill>
                </w14:textFill>
              </w:rPr>
              <w:t>3、能及时改正的。</w:t>
            </w:r>
          </w:p>
        </w:tc>
        <w:tc>
          <w:tcPr>
            <w:tcW w:w="0" w:type="auto"/>
            <w:vAlign w:val="center"/>
          </w:tcPr>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双辽市住房和城乡建设局</w:t>
            </w:r>
          </w:p>
        </w:tc>
        <w:tc>
          <w:tcPr>
            <w:tcW w:w="0" w:type="auto"/>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55" w:hRule="atLeast"/>
        </w:trPr>
        <w:tc>
          <w:tcPr>
            <w:tcW w:w="0" w:type="auto"/>
          </w:tcPr>
          <w:p>
            <w:pPr>
              <w:jc w:val="center"/>
              <w:rPr>
                <w:rFonts w:hint="eastAsia" w:asciiTheme="majorEastAsia" w:hAnsiTheme="majorEastAsia" w:eastAsiaTheme="majorEastAsia" w:cstheme="majorEastAsia"/>
                <w:sz w:val="24"/>
                <w:szCs w:val="24"/>
                <w:lang w:val="en-US" w:eastAsia="zh-CN"/>
              </w:rPr>
            </w:pPr>
          </w:p>
          <w:p>
            <w:pPr>
              <w:jc w:val="both"/>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23</w:t>
            </w:r>
          </w:p>
        </w:tc>
        <w:tc>
          <w:tcPr>
            <w:tcW w:w="0" w:type="auto"/>
            <w:vAlign w:val="top"/>
          </w:tcPr>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对排水单位或者个人不缴纳污水处理费的处罚</w:t>
            </w:r>
          </w:p>
        </w:tc>
        <w:tc>
          <w:tcPr>
            <w:tcW w:w="5407" w:type="dxa"/>
            <w:vAlign w:val="top"/>
          </w:tcPr>
          <w:p>
            <w:pPr>
              <w:jc w:val="left"/>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《城镇排水与污水处理条例》（国务院令第641号）　第五十四条　违反本条例规定，排水单位或者个人不缴纳污水处理费的，由城镇排水主管部门责令限期缴纳，逾期拒不缴纳的，处应缴纳污水处理费数额1倍以上3倍以下罚款。</w:t>
            </w:r>
          </w:p>
        </w:tc>
        <w:tc>
          <w:tcPr>
            <w:tcW w:w="2343" w:type="dxa"/>
            <w:vAlign w:val="top"/>
          </w:tcPr>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由城镇排水主管部门责令限期缴纳后缴纳的</w:t>
            </w:r>
          </w:p>
        </w:tc>
        <w:tc>
          <w:tcPr>
            <w:tcW w:w="0" w:type="auto"/>
            <w:vAlign w:val="center"/>
          </w:tcPr>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双辽市住房和城乡建设局</w:t>
            </w:r>
          </w:p>
        </w:tc>
        <w:tc>
          <w:tcPr>
            <w:tcW w:w="0" w:type="auto"/>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0" w:type="auto"/>
          </w:tcPr>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p>
          <w:p>
            <w:pPr>
              <w:jc w:val="center"/>
              <w:rPr>
                <w:rFonts w:hint="eastAsia" w:asciiTheme="majorEastAsia" w:hAnsiTheme="majorEastAsia" w:eastAsiaTheme="majorEastAsia" w:cstheme="majorEastAsia"/>
                <w:sz w:val="24"/>
                <w:szCs w:val="24"/>
                <w:lang w:val="en-US" w:eastAsia="zh-CN"/>
              </w:rPr>
            </w:pPr>
            <w:r>
              <w:rPr>
                <w:rFonts w:hint="eastAsia" w:asciiTheme="majorEastAsia" w:hAnsiTheme="majorEastAsia" w:eastAsiaTheme="majorEastAsia" w:cstheme="majorEastAsia"/>
                <w:sz w:val="24"/>
                <w:szCs w:val="24"/>
                <w:lang w:val="en-US" w:eastAsia="zh-CN"/>
              </w:rPr>
              <w:t>24</w:t>
            </w:r>
          </w:p>
        </w:tc>
        <w:tc>
          <w:tcPr>
            <w:tcW w:w="0" w:type="auto"/>
            <w:vAlign w:val="top"/>
          </w:tcPr>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对城镇污水处理设施维护运营单位擅自停运城镇污水处理设施，未按照规定事先报告或者采取应急处理措施的处罚</w:t>
            </w:r>
          </w:p>
        </w:tc>
        <w:tc>
          <w:tcPr>
            <w:tcW w:w="5407" w:type="dxa"/>
            <w:vAlign w:val="top"/>
          </w:tcPr>
          <w:p>
            <w:pPr>
              <w:jc w:val="left"/>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城镇排水与污水处理条例》（国务院令第641号）第五十二条，违反本条例规定，城镇污水处理设施维护运营单位擅自停运城镇污水处理设施，未按照规定事先报告或者采取应急处理措施的，由城镇排水主管部门责令改正，给予警告；逾期不改正或者造成严重后果的，处10万元以上50万元以下罚款；造成损失的，依法承担赔偿责任。</w:t>
            </w:r>
          </w:p>
          <w:p>
            <w:pPr>
              <w:jc w:val="center"/>
              <w:rPr>
                <w:rFonts w:hint="eastAsia" w:asciiTheme="majorEastAsia" w:hAnsiTheme="majorEastAsia" w:eastAsiaTheme="majorEastAsia" w:cstheme="majorEastAsia"/>
                <w:kern w:val="2"/>
                <w:sz w:val="24"/>
                <w:szCs w:val="24"/>
                <w:vertAlign w:val="baseline"/>
                <w:lang w:val="en-US" w:eastAsia="zh-CN" w:bidi="ar-SA"/>
              </w:rPr>
            </w:pPr>
          </w:p>
        </w:tc>
        <w:tc>
          <w:tcPr>
            <w:tcW w:w="2343" w:type="dxa"/>
            <w:vAlign w:val="top"/>
          </w:tcPr>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sz w:val="24"/>
                <w:szCs w:val="24"/>
                <w:vertAlign w:val="baseline"/>
                <w:lang w:eastAsia="zh-CN"/>
              </w:rPr>
            </w:pPr>
          </w:p>
          <w:p>
            <w:pPr>
              <w:jc w:val="center"/>
              <w:rPr>
                <w:rFonts w:hint="eastAsia" w:asciiTheme="majorEastAsia" w:hAnsiTheme="majorEastAsia" w:eastAsiaTheme="majorEastAsia" w:cstheme="majorEastAsia"/>
                <w:kern w:val="2"/>
                <w:sz w:val="24"/>
                <w:szCs w:val="24"/>
                <w:vertAlign w:val="baseline"/>
                <w:lang w:val="en-US" w:eastAsia="zh-CN" w:bidi="ar-SA"/>
              </w:rPr>
            </w:pPr>
            <w:r>
              <w:rPr>
                <w:rFonts w:hint="eastAsia" w:asciiTheme="majorEastAsia" w:hAnsiTheme="majorEastAsia" w:eastAsiaTheme="majorEastAsia" w:cstheme="majorEastAsia"/>
                <w:sz w:val="24"/>
                <w:szCs w:val="24"/>
                <w:vertAlign w:val="baseline"/>
                <w:lang w:eastAsia="zh-CN"/>
              </w:rPr>
              <w:t>没有报告但采取应急处理措施，未对整体运行及出水水质造成影响，并积极改正的</w:t>
            </w:r>
          </w:p>
        </w:tc>
        <w:tc>
          <w:tcPr>
            <w:tcW w:w="0" w:type="auto"/>
            <w:vAlign w:val="center"/>
          </w:tcPr>
          <w:p>
            <w:pPr>
              <w:jc w:val="center"/>
              <w:rPr>
                <w:rFonts w:hint="eastAsia" w:asciiTheme="majorEastAsia" w:hAnsiTheme="majorEastAsia" w:eastAsiaTheme="majorEastAsia" w:cstheme="majorEastAsia"/>
                <w:sz w:val="24"/>
                <w:szCs w:val="24"/>
                <w:vertAlign w:val="baseline"/>
                <w:lang w:eastAsia="zh-CN"/>
              </w:rPr>
            </w:pPr>
            <w:r>
              <w:rPr>
                <w:rFonts w:hint="eastAsia" w:asciiTheme="majorEastAsia" w:hAnsiTheme="majorEastAsia" w:eastAsiaTheme="majorEastAsia" w:cstheme="majorEastAsia"/>
                <w:sz w:val="24"/>
                <w:szCs w:val="24"/>
                <w:vertAlign w:val="baseline"/>
                <w:lang w:eastAsia="zh-CN"/>
              </w:rPr>
              <w:t>双辽市住房和城乡建设局</w:t>
            </w:r>
          </w:p>
        </w:tc>
        <w:tc>
          <w:tcPr>
            <w:tcW w:w="0" w:type="auto"/>
          </w:tcPr>
          <w:p>
            <w:pPr>
              <w:rPr>
                <w:rFonts w:hint="eastAsia" w:asciiTheme="majorEastAsia" w:hAnsiTheme="majorEastAsia" w:eastAsiaTheme="majorEastAsia" w:cstheme="maj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25</w:t>
            </w:r>
          </w:p>
        </w:tc>
        <w:tc>
          <w:tcPr>
            <w:tcW w:w="0" w:type="auto"/>
            <w:vAlign w:val="top"/>
          </w:tcPr>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对</w:t>
            </w:r>
            <w:r>
              <w:rPr>
                <w:rFonts w:hint="eastAsia" w:asciiTheme="majorEastAsia" w:hAnsiTheme="majorEastAsia" w:eastAsiaTheme="majorEastAsia" w:cstheme="majorEastAsia"/>
                <w:color w:val="000000" w:themeColor="text1"/>
                <w:sz w:val="24"/>
                <w:szCs w:val="24"/>
                <w14:textFill>
                  <w14:solidFill>
                    <w14:schemeClr w14:val="tx1"/>
                  </w14:solidFill>
                </w14:textFill>
              </w:rPr>
              <w:t>施工单位不出具质量保修书</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的处罚</w:t>
            </w:r>
          </w:p>
        </w:tc>
        <w:tc>
          <w:tcPr>
            <w:tcW w:w="5407" w:type="dxa"/>
            <w:vAlign w:val="top"/>
          </w:tcPr>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  违法行为轻微并及时改正，没有造成危害后果的，不予行政处罚。初次违法且危害后果轻微并及时改正的，可以不予行政处罚。当事人有证据足以证明没有主观过错的，不予行政处罚。2.《吉林省优化营商环境条例》第四十九条第二款 市场主体违法行为轻微并采取说服教育、劝导示范、行政指导等手段及时纠正，没有造成危害后果的，不予行政处罚</w:t>
            </w:r>
          </w:p>
        </w:tc>
        <w:tc>
          <w:tcPr>
            <w:tcW w:w="2343" w:type="dxa"/>
            <w:vAlign w:val="top"/>
          </w:tcPr>
          <w:p>
            <w:pPr>
              <w:jc w:val="center"/>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1、违法行为轻微并及时纠正，配合调查并主动消除违法行为，在责令整改期内，完成整改，没有造成危害后果的。 2、市场主体违法行为轻微并采取说服教育、劝导示范、行政指导等手段及时纠正，没有造成危害后果的，不予行政处罚。</w:t>
            </w:r>
          </w:p>
        </w:tc>
        <w:tc>
          <w:tcPr>
            <w:tcW w:w="0" w:type="auto"/>
            <w:vAlign w:val="center"/>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84"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26</w:t>
            </w:r>
          </w:p>
        </w:tc>
        <w:tc>
          <w:tcPr>
            <w:tcW w:w="0" w:type="auto"/>
            <w:vAlign w:val="top"/>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对监理单位对施工单位违反规定使用建筑材料、建筑构配件、设备，未予以制止或者未书面报告建设工程质量监督管理机构的处罚</w:t>
            </w:r>
          </w:p>
        </w:tc>
        <w:tc>
          <w:tcPr>
            <w:tcW w:w="5407" w:type="dxa"/>
            <w:vAlign w:val="top"/>
          </w:tcPr>
          <w:p>
            <w:p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left"/>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  违法行为轻微并及时改正，没有造成危害后果的，不予行政处罚。初次违法且危害后果轻微并及时改正的，可以不予行政处罚。当事人有证据足以证明没有主观过错的，不予行政处罚。2.《吉林省优化营商环境条例》第四十九条第二款 市场主体违法行为轻微并采取说服教育、劝导示范、行政指导等手段及时纠正，没有造成危害后果的，不予行政处罚。</w:t>
            </w:r>
          </w:p>
        </w:tc>
        <w:tc>
          <w:tcPr>
            <w:tcW w:w="2343" w:type="dxa"/>
            <w:vAlign w:val="top"/>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1、违法行为轻微并及时纠正，配合调查并主动消除违法行为，在责令整改期内，完成整改，没有造成危害后果的。 2、市场主体违法行为轻微并采取说服教育、劝导示范、行政指导等手段及时纠正，没有造成危害后果的，不予行政处罚。</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62"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27</w:t>
            </w:r>
          </w:p>
        </w:tc>
        <w:tc>
          <w:tcPr>
            <w:tcW w:w="0" w:type="auto"/>
            <w:vAlign w:val="top"/>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对较大危险部位和有关设施、设备上设置明显的安全警示标志的处罚</w:t>
            </w:r>
          </w:p>
        </w:tc>
        <w:tc>
          <w:tcPr>
            <w:tcW w:w="5407" w:type="dxa"/>
            <w:vAlign w:val="top"/>
          </w:tcPr>
          <w:p>
            <w:p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left"/>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  违法行为轻微并及时改正，没有造成危害后果的，不予行政处罚。初次违法且危害后果轻微并及时改正的，可以不予行政处罚。</w:t>
            </w:r>
          </w:p>
        </w:tc>
        <w:tc>
          <w:tcPr>
            <w:tcW w:w="2343" w:type="dxa"/>
            <w:vAlign w:val="top"/>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违法行为轻微并及时纠正，配合调查并主动消除违法行为，在责令整改期内，完成整改，没有造成危害后果。</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28</w:t>
            </w:r>
          </w:p>
        </w:tc>
        <w:tc>
          <w:tcPr>
            <w:tcW w:w="0" w:type="auto"/>
            <w:vAlign w:val="top"/>
          </w:tcPr>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对</w:t>
            </w:r>
            <w:r>
              <w:rPr>
                <w:rFonts w:hint="eastAsia" w:asciiTheme="majorEastAsia" w:hAnsiTheme="majorEastAsia" w:eastAsiaTheme="majorEastAsia" w:cstheme="majorEastAsia"/>
                <w:color w:val="000000" w:themeColor="text1"/>
                <w:sz w:val="24"/>
                <w:szCs w:val="24"/>
                <w14:textFill>
                  <w14:solidFill>
                    <w14:schemeClr w14:val="tx1"/>
                  </w14:solidFill>
                </w14:textFill>
              </w:rPr>
              <w:t>工程未按照规定对特种作业人员进行安全生产教育</w:t>
            </w:r>
            <w:r>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t>的处罚</w:t>
            </w:r>
          </w:p>
        </w:tc>
        <w:tc>
          <w:tcPr>
            <w:tcW w:w="5407" w:type="dxa"/>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《中华人民共和国行政处罚法》第三十三条  违法行为轻微并及时改正，没有造成危害后果的，不予行政处罚。初次违法且危害后果轻微并及时改正的，可以不予行政处罚。当事人有证据足以证明没有主观过错的，不予行政处罚。2.《吉林省优化营商环境条例》第四十九条第二款 市场主体违法行为轻微并采取说服教育、劝导示范、行政指导等手段及时纠正，没有造成危害后果的，不予行政处罚。</w:t>
            </w:r>
          </w:p>
        </w:tc>
        <w:tc>
          <w:tcPr>
            <w:tcW w:w="2343" w:type="dxa"/>
            <w:vAlign w:val="top"/>
          </w:tcPr>
          <w:p>
            <w:pPr>
              <w:jc w:val="center"/>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1、违法行为轻微并及时纠正，配合调查并主动消除违法行为，在责令整改期内，完成整改，没有造成危害后果的。 2、市场主体违法行为轻微并采取说服教育、劝导示范、行政指导等手段及时纠正，没有造成危害后果的，不予行政处罚。</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29</w:t>
            </w:r>
          </w:p>
        </w:tc>
        <w:tc>
          <w:tcPr>
            <w:tcW w:w="0" w:type="auto"/>
            <w:vAlign w:val="top"/>
          </w:tcPr>
          <w:p>
            <w:pPr>
              <w:jc w:val="cente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对</w:t>
            </w: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临时消防车堆放建筑材料，导致消防车通道不畅通</w:t>
            </w:r>
            <w:r>
              <w:rPr>
                <w:rFonts w:hint="eastAsia" w:asciiTheme="majorEastAsia" w:hAnsiTheme="majorEastAsia" w:eastAsiaTheme="majorEastAsia" w:cstheme="majorEastAsia"/>
                <w:b w:val="0"/>
                <w:bCs w:val="0"/>
                <w:color w:val="000000" w:themeColor="text1"/>
                <w:sz w:val="24"/>
                <w:szCs w:val="24"/>
                <w:lang w:eastAsia="zh-CN"/>
                <w14:textFill>
                  <w14:solidFill>
                    <w14:schemeClr w14:val="tx1"/>
                  </w14:solidFill>
                </w14:textFill>
              </w:rPr>
              <w:t>的处罚</w:t>
            </w:r>
          </w:p>
        </w:tc>
        <w:tc>
          <w:tcPr>
            <w:tcW w:w="5407" w:type="dxa"/>
            <w:vAlign w:val="top"/>
          </w:tcPr>
          <w:p>
            <w:pPr>
              <w:jc w:val="left"/>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p>
          <w:p>
            <w:pPr>
              <w:jc w:val="left"/>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《中华人民共和国行政处罚法》第三十三条  违法行为轻微并及时改正，没有造成危害后果的，不予行政处罚。初次违法且危害后果轻微并及时改正的，可以不予行政处罚。当事人有证据足以证明没有主观过错的，不予行政处罚。2.《吉林省优化营商环境条例》第四十九条第二款 市场主体违法行为轻微并采取说服教育、劝导示范、行政指导等手段及时纠正，没有造成危害后果的，不予行政处罚。</w:t>
            </w:r>
          </w:p>
        </w:tc>
        <w:tc>
          <w:tcPr>
            <w:tcW w:w="2343" w:type="dxa"/>
            <w:vAlign w:val="top"/>
          </w:tcPr>
          <w:p>
            <w:pPr>
              <w:jc w:val="center"/>
              <w:rPr>
                <w:rFonts w:hint="eastAsia" w:asciiTheme="majorEastAsia" w:hAnsiTheme="majorEastAsia" w:eastAsiaTheme="majorEastAsia" w:cstheme="majorEastAsia"/>
                <w:color w:val="000000" w:themeColor="text1"/>
                <w:kern w:val="2"/>
                <w:sz w:val="24"/>
                <w:szCs w:val="24"/>
                <w:vertAlign w:val="baseline"/>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t>1、违法行为轻微并及时纠正，配合调查并主动消除违法行为，在责令整改期内，完成整改，没有造成危害后果的。 2、市场主体违法行为轻微并采取说服教育、劝导示范、行政指导等手段及时纠正，没有造成危害后果的，不予行政处罚。</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30</w:t>
            </w:r>
          </w:p>
        </w:tc>
        <w:tc>
          <w:tcPr>
            <w:tcW w:w="0" w:type="auto"/>
            <w:vAlign w:val="top"/>
          </w:tcPr>
          <w:p>
            <w:pPr>
              <w:jc w:val="center"/>
              <w:rPr>
                <w:rFonts w:hint="eastAsia" w:asciiTheme="majorEastAsia" w:hAnsiTheme="majorEastAsia" w:eastAsiaTheme="majorEastAsia" w:cstheme="majorEastAsia"/>
                <w:b w:val="0"/>
                <w:bCs w:val="0"/>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b w:val="0"/>
                <w:bCs w:val="0"/>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vertAlign w:val="baseline"/>
                <w:lang w:eastAsia="zh-CN"/>
                <w14:textFill>
                  <w14:solidFill>
                    <w14:schemeClr w14:val="tx1"/>
                  </w14:solidFill>
                </w14:textFill>
              </w:rPr>
              <w:t>对未按照规定在施工起重机械和整体提升脚手架、模板等自升式架设设施验收合格后登记的处罚</w:t>
            </w:r>
          </w:p>
        </w:tc>
        <w:tc>
          <w:tcPr>
            <w:tcW w:w="5407" w:type="dxa"/>
            <w:vAlign w:val="top"/>
          </w:tcPr>
          <w:p>
            <w:pPr>
              <w:jc w:val="left"/>
              <w:rPr>
                <w:rFonts w:hint="eastAsia" w:asciiTheme="majorEastAsia" w:hAnsiTheme="majorEastAsia" w:eastAsiaTheme="majorEastAsia" w:cstheme="majorEastAsia"/>
                <w:b w:val="0"/>
                <w:bCs w:val="0"/>
                <w:color w:val="000000" w:themeColor="text1"/>
                <w:sz w:val="24"/>
                <w:szCs w:val="24"/>
                <w:vertAlign w:val="baseline"/>
                <w:lang w:eastAsia="zh-CN"/>
                <w14:textFill>
                  <w14:solidFill>
                    <w14:schemeClr w14:val="tx1"/>
                  </w14:solidFill>
                </w14:textFill>
              </w:rPr>
            </w:pPr>
          </w:p>
          <w:p>
            <w:pPr>
              <w:jc w:val="left"/>
              <w:rPr>
                <w:rFonts w:hint="eastAsia" w:asciiTheme="majorEastAsia" w:hAnsiTheme="majorEastAsia" w:eastAsiaTheme="majorEastAsia" w:cstheme="majorEastAsia"/>
                <w:b w:val="0"/>
                <w:bCs w:val="0"/>
                <w:color w:val="000000" w:themeColor="text1"/>
                <w:sz w:val="24"/>
                <w:szCs w:val="24"/>
                <w:vertAlign w:val="baseline"/>
                <w:lang w:eastAsia="zh-CN"/>
                <w14:textFill>
                  <w14:solidFill>
                    <w14:schemeClr w14:val="tx1"/>
                  </w14:solidFill>
                </w14:textFill>
              </w:rPr>
            </w:pPr>
          </w:p>
          <w:p>
            <w:pPr>
              <w:jc w:val="left"/>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vertAlign w:val="baseline"/>
                <w:lang w:eastAsia="zh-CN"/>
                <w14:textFill>
                  <w14:solidFill>
                    <w14:schemeClr w14:val="tx1"/>
                  </w14:solidFill>
                </w14:textFill>
              </w:rPr>
              <w:t>《中华人民共和国行政处罚法》第三十三条  违法行为轻微并及时改正，没有造成危害后果的，不予行政处罚。初次违法且危害后果轻微并及时改正的，可以不予行政处罚。当事人有证据足以证明没有主观过错的，不予行政处罚。</w:t>
            </w:r>
          </w:p>
        </w:tc>
        <w:tc>
          <w:tcPr>
            <w:tcW w:w="2343" w:type="dxa"/>
            <w:vAlign w:val="top"/>
          </w:tcPr>
          <w:p>
            <w:pPr>
              <w:jc w:val="center"/>
              <w:rPr>
                <w:rFonts w:hint="eastAsia" w:asciiTheme="majorEastAsia" w:hAnsiTheme="majorEastAsia" w:eastAsiaTheme="majorEastAsia" w:cstheme="majorEastAsia"/>
                <w:b w:val="0"/>
                <w:bCs w:val="0"/>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b w:val="0"/>
                <w:bCs w:val="0"/>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b w:val="0"/>
                <w:bCs w:val="0"/>
                <w:color w:val="000000" w:themeColor="text1"/>
                <w:kern w:val="2"/>
                <w:sz w:val="24"/>
                <w:szCs w:val="24"/>
                <w:lang w:val="en-US" w:eastAsia="zh-CN" w:bidi="ar-SA"/>
                <w14:textFill>
                  <w14:solidFill>
                    <w14:schemeClr w14:val="tx1"/>
                  </w14:solidFill>
                </w14:textFill>
              </w:rPr>
            </w:pPr>
            <w:r>
              <w:rPr>
                <w:rFonts w:hint="eastAsia" w:asciiTheme="majorEastAsia" w:hAnsiTheme="majorEastAsia" w:eastAsiaTheme="majorEastAsia" w:cstheme="majorEastAsia"/>
                <w:b w:val="0"/>
                <w:bCs w:val="0"/>
                <w:color w:val="000000" w:themeColor="text1"/>
                <w:sz w:val="24"/>
                <w:szCs w:val="24"/>
                <w:vertAlign w:val="baseline"/>
                <w:lang w:eastAsia="zh-CN"/>
                <w14:textFill>
                  <w14:solidFill>
                    <w14:schemeClr w14:val="tx1"/>
                  </w14:solidFill>
                </w14:textFill>
              </w:rPr>
              <w:t>1、违法行为轻微并及时纠正，配合调查并主动消除违法行为，在责令整改期内，完成整改，没有造成危害后果的。</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31</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对设计单位选用国家和省禁止使用的建筑材料、建筑构配件和设备用于建设工程的处罚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p>
        </w:tc>
        <w:tc>
          <w:tcPr>
            <w:tcW w:w="5407"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  违法行为轻微并及时改正，没有造成危害后果的，不予行政处罚。初次违法且危害后果轻微并及时改正的，可以不予行政处罚。当事人有证据足以证明没有主观过错的，不予行政处罚。2.《吉林省优化营商环境条例》第四十九条第二款 市场主体违法行为轻微并采取说服教育、劝导示范、行政指导等手段及时纠正，没有造成危害后果的，不予行政处罚。</w:t>
            </w:r>
          </w:p>
        </w:tc>
        <w:tc>
          <w:tcPr>
            <w:tcW w:w="2343"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1、违法行为轻微并及时纠正，配合调查并主动消除违法行为，在责令整改期内，完成整改，没有造成危害后果的。 2、市场主体违法行为轻微并采取说服教育、劝导示范、行政指导等手段及时纠正，没有造成危害后果的，不予行政处罚。</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32</w:t>
            </w:r>
          </w:p>
        </w:tc>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对未取得施工许可证擅自开工建设的处罚</w:t>
            </w:r>
          </w:p>
        </w:tc>
        <w:tc>
          <w:tcPr>
            <w:tcW w:w="5407" w:type="dxa"/>
            <w:vAlign w:val="center"/>
          </w:tcPr>
          <w:p>
            <w:pPr>
              <w:jc w:val="left"/>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w:t>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当事人有证据足以证明没有主观过错的，不予行政处罚。法律、行政法规另有规定的，从其规定。</w:t>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对当事人的违法行为依法不予行政处罚的，行政机关应当对当事人进行教育。</w:t>
            </w:r>
          </w:p>
          <w:p>
            <w:pPr>
              <w:pStyle w:val="2"/>
              <w:widowControl/>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《吉林省优化营商环境条例》第四十九条：省人民政府及其有关部门应当依法规范、细化量化行政处罚自由裁量权标准，并予以公示。</w:t>
            </w:r>
          </w:p>
          <w:p>
            <w:pPr>
              <w:pStyle w:val="2"/>
              <w:widowControl/>
              <w:pBdr>
                <w:top w:val="none" w:color="auto" w:sz="0" w:space="0"/>
                <w:left w:val="none" w:color="auto" w:sz="0" w:space="0"/>
                <w:bottom w:val="none" w:color="auto" w:sz="0" w:space="0"/>
                <w:right w:val="none" w:color="auto" w:sz="0" w:space="0"/>
              </w:pBdr>
              <w:spacing w:before="150" w:beforeAutospacing="0" w:after="150" w:afterAutospacing="0" w:line="30" w:lineRule="atLeast"/>
              <w:ind w:left="0" w:leftChars="0" w:right="0" w:rightChars="0"/>
              <w:jc w:val="left"/>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市场主体违法行为轻微并采取说服教育、劝导示范、行政指导等手段及时纠正，没有造成危害后果的，不予行政处罚。</w:t>
            </w:r>
          </w:p>
        </w:tc>
        <w:tc>
          <w:tcPr>
            <w:tcW w:w="2343" w:type="dxa"/>
            <w:vAlign w:val="center"/>
          </w:tcPr>
          <w:p>
            <w:pPr>
              <w:jc w:val="center"/>
              <w:rPr>
                <w:rFonts w:hint="eastAsia" w:asciiTheme="majorEastAsia" w:hAnsiTheme="majorEastAsia" w:eastAsiaTheme="majorEastAsia" w:cstheme="majorEastAsia"/>
                <w:i w:val="0"/>
                <w:color w:val="000000" w:themeColor="text1"/>
                <w:kern w:val="0"/>
                <w:sz w:val="24"/>
                <w:szCs w:val="24"/>
                <w:u w:val="none"/>
                <w:lang w:val="en-US" w:eastAsia="zh-CN" w:bidi="ar"/>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1.首（初）次违法；2.市场主体违法行为轻微;3.采取说服教育、劝导示范、行政指导等手段及时纠正;4.没有造成危害后果的。</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6"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w:t>
            </w:r>
          </w:p>
        </w:tc>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对施工单位违法分包、转包、挂靠和未按规定落实施工现场人员实名制等违法违规行为的处罚</w:t>
            </w:r>
          </w:p>
        </w:tc>
        <w:tc>
          <w:tcPr>
            <w:tcW w:w="5407"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w:t>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当事人有证据足以证明没有主观过错的，不予行政处罚。法律、行政法规另有规定的，从其规定。</w:t>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对当事人的违法行为依法不予行政处罚的，行政机关应当对当事人进行教育。</w:t>
            </w:r>
          </w:p>
          <w:p>
            <w:pPr>
              <w:keepNext w:val="0"/>
              <w:keepLines w:val="0"/>
              <w:widowControl/>
              <w:suppressLineNumbers w:val="0"/>
              <w:jc w:val="lef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《吉林省优化营商环境条例》第四十九条：省人民政府及其有关部门应当依法规范、细化量化行政处罚自由裁量权标准，并予以公示。</w:t>
            </w:r>
          </w:p>
          <w:p>
            <w:pPr>
              <w:keepNext w:val="0"/>
              <w:keepLines w:val="0"/>
              <w:widowControl/>
              <w:suppressLineNumbers w:val="0"/>
              <w:jc w:val="lef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市场主体违法行为轻微并采取说服教育、劝导示范、行政指导等手段及时纠正，没有造成危害后果的，不予行政处罚。</w:t>
            </w:r>
          </w:p>
        </w:tc>
        <w:tc>
          <w:tcPr>
            <w:tcW w:w="234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1.首（初）次违法；2.市场主体违法行为轻微;3.采取说服教育、劝导示范、行政指导等手段及时纠正;4.没有造成危害后果的。</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both"/>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34</w:t>
            </w:r>
          </w:p>
        </w:tc>
        <w:tc>
          <w:tcPr>
            <w:tcW w:w="0" w:type="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对建设单位违法发包等违法违规行为的处罚</w:t>
            </w:r>
          </w:p>
        </w:tc>
        <w:tc>
          <w:tcPr>
            <w:tcW w:w="5407" w:type="dxa"/>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《中华人民共和国行政处罚法》第三十三条：违法行为轻微并及时改正，没有造成危害后果的，不予行政处罚。初次违法且危害后果轻微并及时改正的，可以不予行政处罚。</w:t>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当事人有证据足以证明没有主观过错的，不予行政处罚。法律、行政法规另有规定的，从其规定。</w:t>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br w:type="textWrapping"/>
            </w: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对当事人的违法行为依法不予行政处罚的，行政机关应当对当事人进行教育。</w:t>
            </w:r>
          </w:p>
          <w:p>
            <w:pPr>
              <w:keepNext w:val="0"/>
              <w:keepLines w:val="0"/>
              <w:widowControl/>
              <w:suppressLineNumbers w:val="0"/>
              <w:jc w:val="lef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《吉林省优化营商环境条例》第四十九条：省人民政府及其有关部门应当依法规范、细化量化行政处罚自由裁量权标准，并予以公示。</w:t>
            </w:r>
          </w:p>
          <w:p>
            <w:pPr>
              <w:keepNext w:val="0"/>
              <w:keepLines w:val="0"/>
              <w:widowControl/>
              <w:suppressLineNumbers w:val="0"/>
              <w:jc w:val="left"/>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市场主体违法行为轻微并采取说服教育、劝导示范、行政指导等手段及时纠正，没有造成危害后果的，不予行政处罚。</w:t>
            </w:r>
          </w:p>
        </w:tc>
        <w:tc>
          <w:tcPr>
            <w:tcW w:w="2343" w:type="dxa"/>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t>1.首（初）次违法；2.市场主体违法行为轻微;3.采取说服教育、劝导示范、行政指导等手段及时纠正;4.没有造成危害后果的。</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9"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35</w:t>
            </w:r>
          </w:p>
        </w:tc>
        <w:tc>
          <w:tcPr>
            <w:tcW w:w="0" w:type="auto"/>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对设计单位选用国家和省禁止使用的建筑材料、建筑构配件和设备用于建设工程的处罚</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p>
        </w:tc>
        <w:tc>
          <w:tcPr>
            <w:tcW w:w="5407" w:type="dxa"/>
            <w:vAlign w:val="top"/>
          </w:tcPr>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jc w:val="left"/>
              <w:textAlignment w:val="auto"/>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  违法行为轻微并及时改正，没有造成危害后果的，不予行政处罚。初次违法且危害后果轻微并及时改正的，可以不予行政处罚。当事人有证据足以证明没有主观过错的，不予行政处罚。2.《吉林省优化营商环境条例》第四十九条第二款 市场主体违法行为轻微并采取说服教育、劝导示范、行政指导等手段及时纠正，没有造成危害后果的，不予行政处罚。</w:t>
            </w:r>
          </w:p>
        </w:tc>
        <w:tc>
          <w:tcPr>
            <w:tcW w:w="2343" w:type="dxa"/>
            <w:vAlign w:val="top"/>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1、违法行为轻微并及时纠正，配合调查并主动消除违法行为，在责令整改期内，完成整改，没有造成危害后果的。 2、市场主体违法行为轻微并采取说服教育、劝导示范、行政指导等手段及时纠正，没有造成危害后果的，不予行政处罚。</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32"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36</w:t>
            </w:r>
          </w:p>
        </w:tc>
        <w:tc>
          <w:tcPr>
            <w:tcW w:w="0" w:type="auto"/>
            <w:vAlign w:val="top"/>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对设计单位为建设单位指定生产厂、供应商的处罚</w:t>
            </w:r>
          </w:p>
        </w:tc>
        <w:tc>
          <w:tcPr>
            <w:tcW w:w="5407" w:type="dxa"/>
            <w:vAlign w:val="top"/>
          </w:tcPr>
          <w:p>
            <w:p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left"/>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left"/>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《中华人民共和国行政处罚法》第三十三条  违法行为轻微并及时改正，没有造成危害后果的，不予行政处罚。初次违法且危害后果轻微并及时改正的，可以不予行政处罚。当事人有证据足以证明没有主观过错的，不予行政处罚。2.《吉林省优化营商环境条例》第四十九条第二款 市场主体违法行为轻微并采取说服教育、劝导示范、行政指导等手段及时纠正，没有造成危害后果的，不予行政处罚。</w:t>
            </w:r>
          </w:p>
        </w:tc>
        <w:tc>
          <w:tcPr>
            <w:tcW w:w="2343" w:type="dxa"/>
            <w:vAlign w:val="top"/>
          </w:tcPr>
          <w:p>
            <w:pPr>
              <w:jc w:val="center"/>
              <w:rPr>
                <w:rFonts w:hint="eastAsia" w:asciiTheme="majorEastAsia" w:hAnsiTheme="majorEastAsia" w:eastAsiaTheme="majorEastAsia" w:cstheme="majorEastAsia"/>
                <w:i w:val="0"/>
                <w:color w:val="000000" w:themeColor="text1"/>
                <w:kern w:val="0"/>
                <w:sz w:val="24"/>
                <w:szCs w:val="24"/>
                <w:u w:val="none"/>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1、违法行为轻微并及时纠正，配合调查并主动消除违法行为，在责令整改期内，完成整改，没有造成危害后果的。 2、市场主体违法行为轻微并采取说服教育、劝导示范、行政指导等手段及时纠正，没有造成危害后果的，不予行政处罚。</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98" w:hRule="atLeast"/>
        </w:trPr>
        <w:tc>
          <w:tcPr>
            <w:tcW w:w="0" w:type="auto"/>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37</w:t>
            </w:r>
          </w:p>
        </w:tc>
        <w:tc>
          <w:tcPr>
            <w:tcW w:w="0" w:type="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城镇排水与污水处理设施竣工验收备案</w:t>
            </w:r>
          </w:p>
        </w:tc>
        <w:tc>
          <w:tcPr>
            <w:tcW w:w="5407" w:type="dxa"/>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vertAlign w:val="baseline"/>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《城镇排水与污水处理条例》（2013年10月2日国务院令第641号发布）第四十六条　违反本条例规定，县级以上地方人民政府及其城镇排水主管部门和其他有关部门，不依法作出行政许可或者办理批准文件的，发现违法行为或者接到对违法行为的举报不予查处的，或者有其他未依照本条例履行职责的行为的，对直接负责的主管人员和其他直接责任人员依法给予处分；直接负责的主管人员和其他直接责任人员的行为构成犯罪的，依法追究刑事责任。</w:t>
            </w:r>
          </w:p>
        </w:tc>
        <w:tc>
          <w:tcPr>
            <w:tcW w:w="2343" w:type="dxa"/>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stheme="minorEastAsia"/>
                <w:i w:val="0"/>
                <w:color w:val="000000" w:themeColor="text1"/>
                <w:kern w:val="0"/>
                <w:sz w:val="24"/>
                <w:szCs w:val="24"/>
                <w:u w:val="none"/>
                <w:lang w:val="en-US" w:eastAsia="zh-CN" w:bidi="ar"/>
                <w14:textFill>
                  <w14:solidFill>
                    <w14:schemeClr w14:val="tx1"/>
                  </w14:solidFill>
                </w14:textFill>
              </w:rPr>
              <w:t>1.违法行为轻微并及时纠正，配合调查并主动消除违法行为，在责令整改期内完成整改，没有造成危害后果的。2.市场主体违法行为轻微并采取说服教育、劝导示范、行政指导等手段及时纠正，没有造成危害后果的，不予行政处罚。</w:t>
            </w:r>
          </w:p>
        </w:tc>
        <w:tc>
          <w:tcPr>
            <w:tcW w:w="0" w:type="auto"/>
          </w:tcPr>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p>
          <w:p>
            <w:pPr>
              <w:jc w:val="cente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vertAlign w:val="baseline"/>
                <w:lang w:eastAsia="zh-CN"/>
                <w14:textFill>
                  <w14:solidFill>
                    <w14:schemeClr w14:val="tx1"/>
                  </w14:solidFill>
                </w14:textFill>
              </w:rPr>
              <w:t>双辽市住房和城乡建设局</w:t>
            </w:r>
          </w:p>
        </w:tc>
        <w:tc>
          <w:tcPr>
            <w:tcW w:w="0" w:type="auto"/>
          </w:tcPr>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bl>
    <w:p>
      <w:pPr>
        <w:rPr>
          <w:rFonts w:hint="eastAsia" w:asciiTheme="majorEastAsia" w:hAnsiTheme="majorEastAsia" w:eastAsiaTheme="majorEastAsia" w:cstheme="majorEastAsia"/>
          <w:color w:val="000000" w:themeColor="text1"/>
          <w:sz w:val="24"/>
          <w:szCs w:val="24"/>
          <w14:textFill>
            <w14:solidFill>
              <w14:schemeClr w14:val="tx1"/>
            </w14:solidFill>
          </w14:textFill>
        </w:rPr>
        <w:sectPr>
          <w:pgSz w:w="16838" w:h="11906" w:orient="landscape"/>
          <w:pgMar w:top="1800" w:right="1440" w:bottom="1800" w:left="1440" w:header="851" w:footer="992" w:gutter="0"/>
          <w:cols w:space="425" w:num="1"/>
          <w:docGrid w:type="lines" w:linePitch="312" w:charSpace="0"/>
        </w:sectPr>
      </w:pPr>
    </w:p>
    <w:p>
      <w:pPr>
        <w:rPr>
          <w:rFonts w:hint="eastAsia" w:asciiTheme="majorEastAsia" w:hAnsiTheme="majorEastAsia" w:eastAsiaTheme="majorEastAsia" w:cstheme="majorEastAsia"/>
          <w:color w:val="000000" w:themeColor="text1"/>
          <w:sz w:val="24"/>
          <w:szCs w:val="24"/>
          <w14:textFill>
            <w14:solidFill>
              <w14:schemeClr w14:val="tx1"/>
            </w14:solidFill>
          </w14:textFill>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Q3MDFlNWU5OGE1NjNhYTM0MjdjYjg1NmUxMmUyZDkifQ=="/>
  </w:docVars>
  <w:rsids>
    <w:rsidRoot w:val="5E840D48"/>
    <w:rsid w:val="00FA6E31"/>
    <w:rsid w:val="0396473F"/>
    <w:rsid w:val="11E96030"/>
    <w:rsid w:val="17A610EB"/>
    <w:rsid w:val="1A9D322D"/>
    <w:rsid w:val="21B26DD5"/>
    <w:rsid w:val="2EA94D33"/>
    <w:rsid w:val="374B4BD9"/>
    <w:rsid w:val="37DC1CD5"/>
    <w:rsid w:val="3B15434E"/>
    <w:rsid w:val="3B7F2C55"/>
    <w:rsid w:val="444459F6"/>
    <w:rsid w:val="50D26AA6"/>
    <w:rsid w:val="5B91786F"/>
    <w:rsid w:val="5E30096C"/>
    <w:rsid w:val="5E840D48"/>
    <w:rsid w:val="7B9F75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qFormat/>
    <w:uiPriority w:val="0"/>
    <w:rPr>
      <w:color w:val="0000FF"/>
      <w:u w:val="single"/>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2023-10-09T02:57:00Z</dcterms:created>
  <dc:creator>甜甜</dc:creator>
  <cp:lastModifiedBy>张唯一</cp:lastModifiedBy>
  <cp:lastPrinted>2023-10-13T00:50:00Z</cp:lastPrinted>
  <dcterms:modified xsi:type="dcterms:W3CDTF">2023-10-17T02:34:05Z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7C00E9B30BB54A0BBB89C2B4E4AF39FE_13</vt:lpwstr>
  </property>
</Properties>
</file>