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7" w:line="227" w:lineRule="auto"/>
        <w:ind w:left="4"/>
        <w:rPr>
          <w:rFonts w:ascii="楷体" w:hAnsi="楷体" w:eastAsia="楷体" w:cs="楷体"/>
          <w:sz w:val="33"/>
          <w:szCs w:val="33"/>
        </w:rPr>
      </w:pPr>
      <w:r>
        <w:rPr>
          <w:rFonts w:ascii="楷体" w:hAnsi="楷体" w:eastAsia="楷体" w:cs="楷体"/>
          <w:spacing w:val="-9"/>
          <w:sz w:val="33"/>
          <w:szCs w:val="33"/>
        </w:rPr>
        <w:t>附件</w:t>
      </w:r>
    </w:p>
    <w:p>
      <w:pPr>
        <w:spacing w:before="143" w:line="219" w:lineRule="auto"/>
        <w:ind w:left="3721"/>
        <w:rPr>
          <w:rFonts w:ascii="宋体" w:hAnsi="宋体" w:eastAsia="宋体" w:cs="宋体"/>
          <w:sz w:val="44"/>
          <w:szCs w:val="44"/>
        </w:rPr>
      </w:pPr>
      <w:bookmarkStart w:id="0" w:name="_GoBack"/>
      <w:bookmarkEnd w:id="0"/>
      <w:r>
        <w:rPr>
          <w:rFonts w:hint="eastAsia" w:ascii="宋体" w:hAnsi="宋体" w:eastAsia="宋体" w:cs="宋体"/>
          <w:b/>
          <w:bCs/>
          <w:spacing w:val="13"/>
          <w:sz w:val="44"/>
          <w:szCs w:val="44"/>
          <w:lang w:val="en-US" w:eastAsia="zh-CN"/>
        </w:rPr>
        <w:t>双辽</w:t>
      </w:r>
      <w:r>
        <w:rPr>
          <w:rFonts w:ascii="宋体" w:hAnsi="宋体" w:eastAsia="宋体" w:cs="宋体"/>
          <w:b/>
          <w:bCs/>
          <w:spacing w:val="13"/>
          <w:sz w:val="44"/>
          <w:szCs w:val="44"/>
        </w:rPr>
        <w:t>市(部门)首违不罚事项清单</w:t>
      </w:r>
    </w:p>
    <w:p>
      <w:pPr>
        <w:spacing w:line="338" w:lineRule="auto"/>
        <w:rPr>
          <w:rFonts w:ascii="Arial"/>
          <w:sz w:val="21"/>
        </w:rPr>
      </w:pPr>
    </w:p>
    <w:p>
      <w:pPr>
        <w:spacing w:before="94" w:line="225" w:lineRule="auto"/>
        <w:ind w:left="4"/>
        <w:rPr>
          <w:rFonts w:ascii="楷体" w:hAnsi="楷体" w:eastAsia="楷体" w:cs="楷体"/>
          <w:sz w:val="29"/>
          <w:szCs w:val="29"/>
        </w:rPr>
      </w:pPr>
      <w:r>
        <w:rPr>
          <w:rFonts w:ascii="楷体" w:hAnsi="楷体" w:eastAsia="楷体" w:cs="楷体"/>
          <w:spacing w:val="-20"/>
          <w:sz w:val="29"/>
          <w:szCs w:val="29"/>
        </w:rPr>
        <w:t>单位：</w:t>
      </w:r>
      <w:r>
        <w:rPr>
          <w:rFonts w:ascii="楷体" w:hAnsi="楷体" w:eastAsia="楷体" w:cs="楷体"/>
          <w:spacing w:val="73"/>
          <w:sz w:val="29"/>
          <w:szCs w:val="29"/>
        </w:rPr>
        <w:t xml:space="preserve"> </w:t>
      </w:r>
      <w:r>
        <w:rPr>
          <w:rFonts w:ascii="楷体" w:hAnsi="楷体" w:eastAsia="楷体" w:cs="楷体"/>
          <w:spacing w:val="-20"/>
          <w:sz w:val="29"/>
          <w:szCs w:val="29"/>
        </w:rPr>
        <w:t>(公章)</w:t>
      </w:r>
    </w:p>
    <w:p>
      <w:pPr>
        <w:spacing w:line="132" w:lineRule="exact"/>
      </w:pPr>
    </w:p>
    <w:tbl>
      <w:tblPr>
        <w:tblStyle w:val="5"/>
        <w:tblW w:w="138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373"/>
        <w:gridCol w:w="3305"/>
        <w:gridCol w:w="4657"/>
        <w:gridCol w:w="1907"/>
        <w:gridCol w:w="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840" w:type="dxa"/>
            <w:vAlign w:val="top"/>
          </w:tcPr>
          <w:p>
            <w:pPr>
              <w:spacing w:before="323" w:line="221" w:lineRule="auto"/>
              <w:ind w:left="208"/>
              <w:jc w:val="both"/>
              <w:rPr>
                <w:rFonts w:ascii="宋体" w:hAnsi="宋体" w:eastAsia="宋体" w:cs="宋体"/>
                <w:sz w:val="27"/>
                <w:szCs w:val="27"/>
              </w:rPr>
            </w:pPr>
            <w:r>
              <w:rPr>
                <w:rFonts w:ascii="宋体" w:hAnsi="宋体" w:eastAsia="宋体" w:cs="宋体"/>
                <w:b/>
                <w:bCs/>
                <w:spacing w:val="-6"/>
                <w:sz w:val="27"/>
                <w:szCs w:val="27"/>
              </w:rPr>
              <w:t>序号</w:t>
            </w:r>
          </w:p>
        </w:tc>
        <w:tc>
          <w:tcPr>
            <w:tcW w:w="2373" w:type="dxa"/>
            <w:vAlign w:val="top"/>
          </w:tcPr>
          <w:p>
            <w:pPr>
              <w:spacing w:before="323" w:line="220" w:lineRule="auto"/>
              <w:ind w:left="364"/>
              <w:jc w:val="center"/>
              <w:rPr>
                <w:rFonts w:ascii="宋体" w:hAnsi="宋体" w:eastAsia="宋体" w:cs="宋体"/>
                <w:sz w:val="27"/>
                <w:szCs w:val="27"/>
              </w:rPr>
            </w:pPr>
            <w:r>
              <w:rPr>
                <w:rFonts w:ascii="宋体" w:hAnsi="宋体" w:eastAsia="宋体" w:cs="宋体"/>
                <w:b/>
                <w:bCs/>
                <w:spacing w:val="-3"/>
                <w:sz w:val="27"/>
                <w:szCs w:val="27"/>
              </w:rPr>
              <w:t>首违处罚事项名称</w:t>
            </w:r>
          </w:p>
        </w:tc>
        <w:tc>
          <w:tcPr>
            <w:tcW w:w="3305" w:type="dxa"/>
            <w:vAlign w:val="top"/>
          </w:tcPr>
          <w:p>
            <w:pPr>
              <w:spacing w:before="324" w:line="219" w:lineRule="auto"/>
              <w:jc w:val="center"/>
              <w:rPr>
                <w:rFonts w:ascii="宋体" w:hAnsi="宋体" w:eastAsia="宋体" w:cs="宋体"/>
                <w:b/>
                <w:bCs/>
                <w:sz w:val="27"/>
                <w:szCs w:val="27"/>
              </w:rPr>
            </w:pPr>
            <w:r>
              <w:rPr>
                <w:rFonts w:ascii="宋体" w:hAnsi="宋体" w:eastAsia="宋体" w:cs="宋体"/>
                <w:b/>
                <w:bCs/>
                <w:spacing w:val="2"/>
                <w:sz w:val="27"/>
                <w:szCs w:val="27"/>
              </w:rPr>
              <w:t>首违不罚的依据</w:t>
            </w:r>
          </w:p>
        </w:tc>
        <w:tc>
          <w:tcPr>
            <w:tcW w:w="4657" w:type="dxa"/>
            <w:vAlign w:val="top"/>
          </w:tcPr>
          <w:p>
            <w:pPr>
              <w:spacing w:before="326" w:line="220" w:lineRule="auto"/>
              <w:ind w:left="305" w:firstLine="819" w:firstLineChars="300"/>
              <w:jc w:val="both"/>
              <w:rPr>
                <w:rFonts w:ascii="宋体" w:hAnsi="宋体" w:eastAsia="宋体" w:cs="宋体"/>
                <w:b/>
                <w:bCs/>
                <w:sz w:val="27"/>
                <w:szCs w:val="27"/>
              </w:rPr>
            </w:pPr>
            <w:r>
              <w:rPr>
                <w:rFonts w:ascii="宋体" w:hAnsi="宋体" w:eastAsia="宋体" w:cs="宋体"/>
                <w:b/>
                <w:bCs/>
                <w:spacing w:val="1"/>
                <w:sz w:val="27"/>
                <w:szCs w:val="27"/>
              </w:rPr>
              <w:t>首违不罚的情形</w:t>
            </w:r>
          </w:p>
        </w:tc>
        <w:tc>
          <w:tcPr>
            <w:tcW w:w="1907" w:type="dxa"/>
            <w:vAlign w:val="top"/>
          </w:tcPr>
          <w:p>
            <w:pPr>
              <w:spacing w:before="324" w:line="219" w:lineRule="auto"/>
              <w:ind w:firstLine="554" w:firstLineChars="200"/>
              <w:jc w:val="both"/>
              <w:rPr>
                <w:rFonts w:ascii="宋体" w:hAnsi="宋体" w:eastAsia="宋体" w:cs="宋体"/>
                <w:b/>
                <w:bCs/>
                <w:sz w:val="27"/>
                <w:szCs w:val="27"/>
              </w:rPr>
            </w:pPr>
            <w:r>
              <w:rPr>
                <w:rFonts w:ascii="宋体" w:hAnsi="宋体" w:eastAsia="宋体" w:cs="宋体"/>
                <w:b/>
                <w:bCs/>
                <w:spacing w:val="3"/>
                <w:sz w:val="27"/>
                <w:szCs w:val="27"/>
              </w:rPr>
              <w:t>实施机关</w:t>
            </w:r>
          </w:p>
        </w:tc>
        <w:tc>
          <w:tcPr>
            <w:tcW w:w="796" w:type="dxa"/>
            <w:vAlign w:val="top"/>
          </w:tcPr>
          <w:p>
            <w:pPr>
              <w:spacing w:before="323" w:line="221" w:lineRule="auto"/>
              <w:jc w:val="center"/>
              <w:rPr>
                <w:rFonts w:ascii="宋体" w:hAnsi="宋体" w:eastAsia="宋体" w:cs="宋体"/>
                <w:sz w:val="27"/>
                <w:szCs w:val="27"/>
              </w:rPr>
            </w:pPr>
            <w:r>
              <w:rPr>
                <w:rFonts w:ascii="宋体" w:hAnsi="宋体" w:eastAsia="宋体" w:cs="宋体"/>
                <w:b/>
                <w:bCs/>
                <w:spacing w:val="-7"/>
                <w:sz w:val="27"/>
                <w:szCs w:val="2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3" w:hRule="atLeast"/>
        </w:trPr>
        <w:tc>
          <w:tcPr>
            <w:tcW w:w="840" w:type="dxa"/>
            <w:vAlign w:val="top"/>
          </w:tcPr>
          <w:p>
            <w:pPr>
              <w:jc w:val="both"/>
              <w:rPr>
                <w:rFonts w:hint="eastAsia" w:ascii="Arial"/>
                <w:sz w:val="21"/>
                <w:szCs w:val="24"/>
                <w:lang w:val="en-US" w:eastAsia="zh-CN"/>
              </w:rPr>
            </w:pPr>
          </w:p>
          <w:p>
            <w:pPr>
              <w:jc w:val="center"/>
              <w:rPr>
                <w:rFonts w:hint="eastAsia" w:ascii="Arial"/>
                <w:sz w:val="21"/>
                <w:szCs w:val="24"/>
                <w:lang w:val="en-US" w:eastAsia="zh-CN"/>
              </w:rPr>
            </w:pPr>
          </w:p>
          <w:p>
            <w:pPr>
              <w:jc w:val="center"/>
              <w:rPr>
                <w:rFonts w:hint="eastAsia" w:ascii="Arial"/>
                <w:sz w:val="21"/>
                <w:szCs w:val="24"/>
                <w:lang w:val="en-US" w:eastAsia="zh-CN"/>
              </w:rPr>
            </w:pPr>
          </w:p>
          <w:p>
            <w:pPr>
              <w:jc w:val="center"/>
              <w:rPr>
                <w:rFonts w:hint="eastAsia" w:ascii="Arial"/>
                <w:sz w:val="21"/>
                <w:szCs w:val="24"/>
                <w:lang w:val="en-US" w:eastAsia="zh-CN"/>
              </w:rPr>
            </w:pPr>
          </w:p>
          <w:p>
            <w:pPr>
              <w:jc w:val="center"/>
              <w:rPr>
                <w:rFonts w:hint="eastAsia" w:ascii="Arial"/>
                <w:sz w:val="21"/>
                <w:szCs w:val="24"/>
                <w:lang w:val="en-US" w:eastAsia="zh-CN"/>
              </w:rPr>
            </w:pPr>
          </w:p>
          <w:p>
            <w:pPr>
              <w:jc w:val="center"/>
              <w:rPr>
                <w:rFonts w:hint="eastAsia" w:ascii="Arial" w:eastAsiaTheme="minorEastAsia"/>
                <w:sz w:val="21"/>
                <w:szCs w:val="24"/>
                <w:lang w:val="en-US" w:eastAsia="zh-CN"/>
              </w:rPr>
            </w:pPr>
            <w:r>
              <w:rPr>
                <w:rFonts w:hint="eastAsia" w:ascii="Arial"/>
                <w:sz w:val="21"/>
                <w:szCs w:val="24"/>
                <w:lang w:val="en-US" w:eastAsia="zh-CN"/>
              </w:rPr>
              <w:t>1</w:t>
            </w:r>
          </w:p>
        </w:tc>
        <w:tc>
          <w:tcPr>
            <w:tcW w:w="2373" w:type="dxa"/>
            <w:vAlign w:val="top"/>
          </w:tcPr>
          <w:p>
            <w:pPr>
              <w:rPr>
                <w:rFonts w:ascii="Arial"/>
                <w:sz w:val="20"/>
                <w:szCs w:val="22"/>
              </w:rPr>
            </w:pPr>
          </w:p>
          <w:p>
            <w:pPr>
              <w:bidi w:val="0"/>
              <w:ind w:firstLine="200" w:firstLineChars="0"/>
              <w:jc w:val="left"/>
              <w:rPr>
                <w:rFonts w:hint="eastAsia" w:asciiTheme="minorHAnsi" w:hAnsiTheme="minorHAnsi" w:eastAsiaTheme="minorEastAsia" w:cstheme="minorBidi"/>
                <w:kern w:val="2"/>
                <w:sz w:val="20"/>
                <w:szCs w:val="22"/>
                <w:lang w:val="en-US" w:eastAsia="zh-CN" w:bidi="ar-SA"/>
              </w:rPr>
            </w:pPr>
          </w:p>
          <w:p>
            <w:pPr>
              <w:bidi w:val="0"/>
              <w:ind w:firstLine="200" w:firstLineChars="0"/>
              <w:jc w:val="left"/>
              <w:rPr>
                <w:rFonts w:hint="eastAsia" w:asciiTheme="minorHAnsi" w:hAnsiTheme="minorHAnsi" w:eastAsiaTheme="minorEastAsia" w:cstheme="minorBidi"/>
                <w:kern w:val="2"/>
                <w:sz w:val="20"/>
                <w:szCs w:val="22"/>
                <w:lang w:val="en-US" w:eastAsia="zh-CN" w:bidi="ar-SA"/>
              </w:rPr>
            </w:pPr>
          </w:p>
          <w:p>
            <w:pPr>
              <w:bidi w:val="0"/>
              <w:ind w:firstLine="200" w:firstLineChars="0"/>
              <w:jc w:val="left"/>
              <w:rPr>
                <w:rFonts w:asciiTheme="minorHAnsi" w:hAnsiTheme="minorHAnsi" w:eastAsiaTheme="minorEastAsia" w:cstheme="minorBidi"/>
                <w:kern w:val="2"/>
                <w:sz w:val="20"/>
                <w:szCs w:val="22"/>
                <w:lang w:val="en-US" w:eastAsia="zh-CN" w:bidi="ar-SA"/>
              </w:rPr>
            </w:pPr>
            <w:r>
              <w:rPr>
                <w:rFonts w:hint="eastAsia" w:asciiTheme="minorHAnsi" w:hAnsiTheme="minorHAnsi" w:eastAsiaTheme="minorEastAsia" w:cstheme="minorBidi"/>
                <w:kern w:val="2"/>
                <w:sz w:val="20"/>
                <w:szCs w:val="22"/>
                <w:lang w:val="en-US" w:eastAsia="zh-CN" w:bidi="ar-SA"/>
              </w:rPr>
              <w:t>对车辆装载物触地拖行、掉落、遗洒或者飘散，造成公路路面损坏、污染的处罚</w:t>
            </w:r>
          </w:p>
        </w:tc>
        <w:tc>
          <w:tcPr>
            <w:tcW w:w="3305" w:type="dxa"/>
            <w:vAlign w:val="top"/>
          </w:tcPr>
          <w:p>
            <w:pPr>
              <w:bidi w:val="0"/>
              <w:jc w:val="left"/>
              <w:rPr>
                <w:rFonts w:hint="eastAsia"/>
                <w:sz w:val="20"/>
                <w:szCs w:val="22"/>
                <w:lang w:val="en-US" w:eastAsia="zh-CN"/>
              </w:rPr>
            </w:pPr>
          </w:p>
          <w:p>
            <w:pPr>
              <w:bidi w:val="0"/>
              <w:jc w:val="left"/>
              <w:rPr>
                <w:rFonts w:hint="eastAsia"/>
                <w:sz w:val="20"/>
                <w:szCs w:val="22"/>
                <w:lang w:val="en-US" w:eastAsia="zh-CN"/>
              </w:rPr>
            </w:pPr>
          </w:p>
          <w:p>
            <w:pPr>
              <w:bidi w:val="0"/>
              <w:jc w:val="left"/>
              <w:rPr>
                <w:sz w:val="20"/>
                <w:szCs w:val="22"/>
                <w:lang w:val="en-US" w:eastAsia="zh-CN"/>
              </w:rPr>
            </w:pPr>
            <w:r>
              <w:rPr>
                <w:rFonts w:hint="eastAsia"/>
                <w:sz w:val="20"/>
                <w:szCs w:val="22"/>
                <w:lang w:val="en-US" w:eastAsia="zh-CN"/>
              </w:rPr>
              <w:t>《公路安全保护条例》第六十九条  车辆装载物触地拖行、掉落、遗洒或者飘散，造成公路路面损坏、污染的，由公路管理机构责令改正，处5000元以下的罚款。</w:t>
            </w:r>
          </w:p>
        </w:tc>
        <w:tc>
          <w:tcPr>
            <w:tcW w:w="4657" w:type="dxa"/>
            <w:vAlign w:val="top"/>
          </w:tcPr>
          <w:p>
            <w:pPr>
              <w:bidi w:val="0"/>
              <w:rPr>
                <w:rFonts w:hint="eastAsia" w:asciiTheme="minorHAnsi" w:hAnsiTheme="minorHAnsi" w:eastAsiaTheme="minorEastAsia" w:cstheme="minorBidi"/>
                <w:kern w:val="2"/>
                <w:sz w:val="20"/>
                <w:szCs w:val="22"/>
                <w:lang w:val="en-US" w:eastAsia="zh-CN" w:bidi="ar-SA"/>
              </w:rPr>
            </w:pPr>
            <w:r>
              <w:rPr>
                <w:rFonts w:hint="eastAsia" w:asciiTheme="minorHAnsi" w:hAnsiTheme="minorHAnsi" w:eastAsiaTheme="minorEastAsia" w:cstheme="minorBidi"/>
                <w:kern w:val="2"/>
                <w:sz w:val="20"/>
                <w:szCs w:val="22"/>
                <w:lang w:val="en-US" w:eastAsia="zh-CN" w:bidi="ar-SA"/>
              </w:rPr>
              <w:t>1.首次实施违法行为。</w:t>
            </w:r>
          </w:p>
          <w:p>
            <w:pPr>
              <w:bidi w:val="0"/>
              <w:rPr>
                <w:rFonts w:hint="eastAsia" w:asciiTheme="minorHAnsi" w:hAnsiTheme="minorHAnsi" w:eastAsiaTheme="minorEastAsia" w:cstheme="minorBidi"/>
                <w:kern w:val="2"/>
                <w:sz w:val="20"/>
                <w:szCs w:val="22"/>
                <w:lang w:val="en-US" w:eastAsia="zh-CN" w:bidi="ar-SA"/>
              </w:rPr>
            </w:pPr>
            <w:r>
              <w:rPr>
                <w:rFonts w:hint="eastAsia" w:asciiTheme="minorHAnsi" w:hAnsiTheme="minorHAnsi" w:eastAsiaTheme="minorEastAsia" w:cstheme="minorBidi"/>
                <w:kern w:val="2"/>
                <w:sz w:val="20"/>
                <w:szCs w:val="22"/>
                <w:lang w:val="en-US" w:eastAsia="zh-CN" w:bidi="ar-SA"/>
              </w:rPr>
              <w:t>2.违法行为调查过程中，不存在拒不接受执法部门调查处理、阻碍执法、煽动抗拒执法等妨碍执行公务的行为。</w:t>
            </w:r>
          </w:p>
          <w:p>
            <w:pPr>
              <w:bidi w:val="0"/>
              <w:rPr>
                <w:rFonts w:hint="eastAsia" w:asciiTheme="minorHAnsi" w:hAnsiTheme="minorHAnsi" w:eastAsiaTheme="minorEastAsia" w:cstheme="minorBidi"/>
                <w:kern w:val="2"/>
                <w:sz w:val="20"/>
                <w:szCs w:val="22"/>
                <w:lang w:val="en-US" w:eastAsia="zh-CN" w:bidi="ar-SA"/>
              </w:rPr>
            </w:pPr>
            <w:r>
              <w:rPr>
                <w:rFonts w:hint="eastAsia" w:asciiTheme="minorHAnsi" w:hAnsiTheme="minorHAnsi" w:eastAsiaTheme="minorEastAsia" w:cstheme="minorBidi"/>
                <w:kern w:val="2"/>
                <w:sz w:val="20"/>
                <w:szCs w:val="22"/>
                <w:lang w:val="en-US" w:eastAsia="zh-CN" w:bidi="ar-SA"/>
              </w:rPr>
              <w:t>3.按执法部门要求进行规范装载，并采取必要措施防止触地拖行、掉落、遗洒或者飘散。</w:t>
            </w:r>
          </w:p>
          <w:p>
            <w:pPr>
              <w:bidi w:val="0"/>
              <w:rPr>
                <w:rFonts w:hint="eastAsia" w:asciiTheme="minorHAnsi" w:hAnsiTheme="minorHAnsi" w:eastAsiaTheme="minorEastAsia" w:cstheme="minorBidi"/>
                <w:kern w:val="2"/>
                <w:sz w:val="20"/>
                <w:szCs w:val="22"/>
                <w:lang w:val="en-US" w:eastAsia="zh-CN" w:bidi="ar-SA"/>
              </w:rPr>
            </w:pPr>
            <w:r>
              <w:rPr>
                <w:rFonts w:hint="eastAsia" w:asciiTheme="minorHAnsi" w:hAnsiTheme="minorHAnsi" w:eastAsiaTheme="minorEastAsia" w:cstheme="minorBidi"/>
                <w:kern w:val="2"/>
                <w:sz w:val="20"/>
                <w:szCs w:val="22"/>
                <w:lang w:val="en-US" w:eastAsia="zh-CN" w:bidi="ar-SA"/>
              </w:rPr>
              <w:t>4.损坏程度轻微或污染面积较小，未因此引发交通事故、造成交通拥堵等危害后果。</w:t>
            </w:r>
          </w:p>
          <w:p>
            <w:pPr>
              <w:bidi w:val="0"/>
              <w:rPr>
                <w:sz w:val="20"/>
                <w:szCs w:val="22"/>
                <w:lang w:val="en-US" w:eastAsia="zh-CN"/>
              </w:rPr>
            </w:pPr>
            <w:r>
              <w:rPr>
                <w:rFonts w:hint="eastAsia" w:asciiTheme="minorHAnsi" w:hAnsiTheme="minorHAnsi" w:eastAsiaTheme="minorEastAsia" w:cstheme="minorBidi"/>
                <w:kern w:val="2"/>
                <w:sz w:val="20"/>
                <w:szCs w:val="22"/>
                <w:lang w:val="en-US" w:eastAsia="zh-CN" w:bidi="ar-SA"/>
              </w:rPr>
              <w:t>5.在执法部门规定的期限内及时清除污染或修复损害；不能自行清除或修复损害，执法部门代为恢复原状的，依法承担相关费用</w:t>
            </w:r>
          </w:p>
        </w:tc>
        <w:tc>
          <w:tcPr>
            <w:tcW w:w="1907" w:type="dxa"/>
            <w:vAlign w:val="top"/>
          </w:tcPr>
          <w:p>
            <w:pPr>
              <w:rPr>
                <w:rFonts w:hint="eastAsia" w:ascii="Arial"/>
                <w:sz w:val="21"/>
                <w:szCs w:val="24"/>
                <w:lang w:val="en-US" w:eastAsia="zh-CN"/>
              </w:rPr>
            </w:pPr>
          </w:p>
          <w:p>
            <w:pPr>
              <w:rPr>
                <w:rFonts w:hint="eastAsia" w:ascii="Arial"/>
                <w:sz w:val="21"/>
                <w:szCs w:val="24"/>
                <w:lang w:val="en-US" w:eastAsia="zh-CN"/>
              </w:rPr>
            </w:pPr>
          </w:p>
          <w:p>
            <w:pPr>
              <w:rPr>
                <w:rFonts w:hint="eastAsia" w:ascii="Arial"/>
                <w:sz w:val="21"/>
                <w:szCs w:val="24"/>
                <w:lang w:val="en-US" w:eastAsia="zh-CN"/>
              </w:rPr>
            </w:pPr>
          </w:p>
          <w:p>
            <w:pPr>
              <w:ind w:firstLine="420" w:firstLineChars="200"/>
              <w:rPr>
                <w:rFonts w:hint="eastAsia" w:ascii="Arial"/>
                <w:sz w:val="21"/>
                <w:szCs w:val="24"/>
                <w:lang w:val="en-US" w:eastAsia="zh-CN"/>
              </w:rPr>
            </w:pPr>
          </w:p>
          <w:p>
            <w:pPr>
              <w:ind w:firstLine="420" w:firstLineChars="200"/>
              <w:rPr>
                <w:rFonts w:hint="eastAsia" w:ascii="Arial"/>
                <w:sz w:val="21"/>
                <w:szCs w:val="24"/>
                <w:lang w:val="en-US" w:eastAsia="zh-CN"/>
              </w:rPr>
            </w:pPr>
          </w:p>
          <w:p>
            <w:pPr>
              <w:ind w:firstLine="200" w:firstLineChars="100"/>
              <w:rPr>
                <w:rFonts w:hint="default" w:ascii="Arial" w:eastAsiaTheme="minorEastAsia"/>
                <w:sz w:val="21"/>
                <w:szCs w:val="24"/>
                <w:lang w:val="en-US" w:eastAsia="zh-CN"/>
              </w:rPr>
            </w:pPr>
            <w:r>
              <w:rPr>
                <w:rFonts w:hint="eastAsia" w:ascii="Arial"/>
                <w:sz w:val="20"/>
                <w:szCs w:val="22"/>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eastAsiaTheme="minorEastAsia"/>
                <w:sz w:val="21"/>
                <w:lang w:val="en-US" w:eastAsia="zh-CN"/>
              </w:rPr>
            </w:pPr>
            <w:r>
              <w:rPr>
                <w:rFonts w:hint="eastAsia" w:ascii="Arial"/>
                <w:sz w:val="21"/>
                <w:lang w:val="en-US" w:eastAsia="zh-CN"/>
              </w:rPr>
              <w:t>2</w:t>
            </w:r>
          </w:p>
        </w:tc>
        <w:tc>
          <w:tcPr>
            <w:tcW w:w="2373" w:type="dxa"/>
            <w:vAlign w:val="top"/>
          </w:tcPr>
          <w:p>
            <w:pPr>
              <w:rPr>
                <w:rFonts w:ascii="Arial"/>
                <w:sz w:val="20"/>
                <w:szCs w:val="20"/>
              </w:rPr>
            </w:pPr>
          </w:p>
          <w:p>
            <w:pPr>
              <w:bidi w:val="0"/>
              <w:jc w:val="left"/>
              <w:rPr>
                <w:rFonts w:hint="eastAsia" w:asciiTheme="minorHAnsi" w:hAnsiTheme="minorHAnsi" w:eastAsiaTheme="minorEastAsia" w:cstheme="minorBidi"/>
                <w:kern w:val="2"/>
                <w:sz w:val="20"/>
                <w:szCs w:val="20"/>
                <w:lang w:val="en-US" w:eastAsia="zh-CN" w:bidi="ar-SA"/>
              </w:rPr>
            </w:pPr>
          </w:p>
          <w:p>
            <w:pPr>
              <w:bidi w:val="0"/>
              <w:jc w:val="left"/>
              <w:rPr>
                <w:rFonts w:hint="eastAsia" w:asciiTheme="minorHAnsi" w:hAnsiTheme="minorHAnsi" w:eastAsiaTheme="minorEastAsia" w:cstheme="minorBidi"/>
                <w:kern w:val="2"/>
                <w:sz w:val="20"/>
                <w:szCs w:val="20"/>
                <w:lang w:val="en-US" w:eastAsia="zh-CN" w:bidi="ar-SA"/>
              </w:rPr>
            </w:pPr>
          </w:p>
          <w:p>
            <w:pPr>
              <w:bidi w:val="0"/>
              <w:jc w:val="left"/>
              <w:rPr>
                <w:rFonts w:asciiTheme="minorHAnsi" w:hAnsiTheme="minorHAnsi" w:eastAsiaTheme="minorEastAsia" w:cstheme="minorBidi"/>
                <w:kern w:val="2"/>
                <w:sz w:val="20"/>
                <w:szCs w:val="20"/>
                <w:lang w:val="en-US" w:eastAsia="zh-CN" w:bidi="ar-SA"/>
              </w:rPr>
            </w:pPr>
            <w:r>
              <w:rPr>
                <w:rFonts w:hint="eastAsia" w:asciiTheme="minorHAnsi" w:hAnsiTheme="minorHAnsi" w:eastAsiaTheme="minorEastAsia" w:cstheme="minorBidi"/>
                <w:kern w:val="2"/>
                <w:sz w:val="20"/>
                <w:szCs w:val="20"/>
                <w:lang w:val="en-US" w:eastAsia="zh-CN" w:bidi="ar-SA"/>
              </w:rPr>
              <w:t>对铁轮车、履带车和其他可能损害路面的机具擅自在公路上行驶的处罚</w:t>
            </w:r>
          </w:p>
        </w:tc>
        <w:tc>
          <w:tcPr>
            <w:tcW w:w="3305" w:type="dxa"/>
            <w:vAlign w:val="top"/>
          </w:tcPr>
          <w:p>
            <w:pPr>
              <w:rPr>
                <w:rFonts w:ascii="Arial"/>
                <w:sz w:val="20"/>
                <w:szCs w:val="20"/>
              </w:rPr>
            </w:pPr>
            <w:r>
              <w:rPr>
                <w:rFonts w:hint="eastAsia" w:ascii="Arial"/>
                <w:sz w:val="20"/>
                <w:szCs w:val="20"/>
              </w:rPr>
              <w:t>《中华人民共和国公路法》第七十六条第（四）项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4657" w:type="dxa"/>
            <w:vAlign w:val="top"/>
          </w:tcPr>
          <w:p>
            <w:pPr>
              <w:rPr>
                <w:rFonts w:ascii="Arial"/>
                <w:sz w:val="20"/>
                <w:szCs w:val="20"/>
              </w:rPr>
            </w:pPr>
          </w:p>
          <w:p>
            <w:pPr>
              <w:tabs>
                <w:tab w:val="left" w:pos="730"/>
              </w:tabs>
              <w:bidi w:val="0"/>
              <w:jc w:val="left"/>
              <w:rPr>
                <w:rFonts w:hint="eastAsia"/>
                <w:sz w:val="20"/>
                <w:szCs w:val="20"/>
                <w:lang w:val="en-US" w:eastAsia="zh-CN"/>
              </w:rPr>
            </w:pPr>
            <w:r>
              <w:rPr>
                <w:rFonts w:hint="eastAsia"/>
                <w:sz w:val="20"/>
                <w:szCs w:val="20"/>
                <w:lang w:val="en-US" w:eastAsia="zh-CN"/>
              </w:rPr>
              <w:t>1.首次实施违法行为。</w:t>
            </w:r>
          </w:p>
          <w:p>
            <w:pPr>
              <w:tabs>
                <w:tab w:val="left" w:pos="730"/>
              </w:tabs>
              <w:bidi w:val="0"/>
              <w:jc w:val="left"/>
              <w:rPr>
                <w:rFonts w:hint="eastAsia"/>
                <w:sz w:val="20"/>
                <w:szCs w:val="20"/>
                <w:lang w:val="en-US" w:eastAsia="zh-CN"/>
              </w:rPr>
            </w:pPr>
            <w:r>
              <w:rPr>
                <w:rFonts w:hint="eastAsia"/>
                <w:sz w:val="20"/>
                <w:szCs w:val="20"/>
                <w:lang w:val="en-US" w:eastAsia="zh-CN"/>
              </w:rPr>
              <w:t>2.违法行为调查过程中，不存在拒不接受执法部门调查处理、阻碍执法、煽动抗拒执法等妨碍执行公务的行为。</w:t>
            </w:r>
          </w:p>
          <w:p>
            <w:pPr>
              <w:tabs>
                <w:tab w:val="left" w:pos="730"/>
              </w:tabs>
              <w:bidi w:val="0"/>
              <w:jc w:val="left"/>
              <w:rPr>
                <w:rFonts w:hint="eastAsia"/>
                <w:sz w:val="20"/>
                <w:szCs w:val="20"/>
                <w:lang w:val="en-US" w:eastAsia="zh-CN"/>
              </w:rPr>
            </w:pPr>
            <w:r>
              <w:rPr>
                <w:rFonts w:hint="eastAsia"/>
                <w:sz w:val="20"/>
                <w:szCs w:val="20"/>
                <w:lang w:val="en-US" w:eastAsia="zh-CN"/>
              </w:rPr>
              <w:t>3.按执法部门要求立即停驶或驶离公路。</w:t>
            </w:r>
          </w:p>
          <w:p>
            <w:pPr>
              <w:tabs>
                <w:tab w:val="left" w:pos="730"/>
              </w:tabs>
              <w:bidi w:val="0"/>
              <w:jc w:val="left"/>
              <w:rPr>
                <w:sz w:val="20"/>
                <w:szCs w:val="20"/>
                <w:lang w:val="en-US" w:eastAsia="zh-CN"/>
              </w:rPr>
            </w:pPr>
            <w:r>
              <w:rPr>
                <w:rFonts w:hint="eastAsia"/>
                <w:sz w:val="20"/>
                <w:szCs w:val="20"/>
                <w:lang w:val="en-US" w:eastAsia="zh-CN"/>
              </w:rPr>
              <w:t>4.未造成公路路产损害，引发交通事故和交通拥堵等危害后果。</w:t>
            </w:r>
          </w:p>
        </w:tc>
        <w:tc>
          <w:tcPr>
            <w:tcW w:w="1907" w:type="dxa"/>
            <w:vAlign w:val="top"/>
          </w:tcPr>
          <w:p>
            <w:pPr>
              <w:rPr>
                <w:rFonts w:hint="eastAsia" w:ascii="Arial"/>
                <w:sz w:val="21"/>
                <w:lang w:val="en-US" w:eastAsia="zh-CN"/>
              </w:rPr>
            </w:pPr>
          </w:p>
          <w:p>
            <w:pPr>
              <w:rPr>
                <w:rFonts w:hint="eastAsia" w:ascii="Arial"/>
                <w:sz w:val="21"/>
                <w:lang w:val="en-US" w:eastAsia="zh-CN"/>
              </w:rPr>
            </w:pPr>
          </w:p>
          <w:p>
            <w:pPr>
              <w:rPr>
                <w:rFonts w:hint="eastAsia" w:ascii="Arial"/>
                <w:sz w:val="21"/>
                <w:lang w:val="en-US" w:eastAsia="zh-CN"/>
              </w:rPr>
            </w:pPr>
          </w:p>
          <w:p>
            <w:pPr>
              <w:ind w:firstLine="200" w:firstLineChars="100"/>
              <w:rPr>
                <w:rFonts w:hint="default" w:ascii="Arial" w:eastAsiaTheme="minorEastAsia"/>
                <w:sz w:val="21"/>
                <w:lang w:val="en-US" w:eastAsia="zh-CN"/>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840" w:type="dxa"/>
            <w:vAlign w:val="top"/>
          </w:tcPr>
          <w:p>
            <w:pPr>
              <w:jc w:val="center"/>
              <w:rPr>
                <w:rFonts w:hint="eastAsia" w:ascii="Arial"/>
                <w:sz w:val="20"/>
                <w:szCs w:val="20"/>
                <w:lang w:val="en-US" w:eastAsia="zh-CN"/>
              </w:rPr>
            </w:pPr>
          </w:p>
          <w:p>
            <w:pPr>
              <w:jc w:val="center"/>
              <w:rPr>
                <w:rFonts w:hint="eastAsia" w:ascii="Arial"/>
                <w:sz w:val="20"/>
                <w:szCs w:val="20"/>
                <w:lang w:val="en-US" w:eastAsia="zh-CN"/>
              </w:rPr>
            </w:pPr>
          </w:p>
          <w:p>
            <w:pPr>
              <w:jc w:val="center"/>
              <w:rPr>
                <w:rFonts w:hint="eastAsia" w:ascii="Arial"/>
                <w:sz w:val="20"/>
                <w:szCs w:val="20"/>
                <w:lang w:val="en-US" w:eastAsia="zh-CN"/>
              </w:rPr>
            </w:pPr>
          </w:p>
          <w:p>
            <w:pPr>
              <w:jc w:val="center"/>
              <w:rPr>
                <w:rFonts w:hint="eastAsia" w:ascii="Arial" w:eastAsiaTheme="minorEastAsia"/>
                <w:sz w:val="20"/>
                <w:szCs w:val="20"/>
                <w:lang w:val="en-US" w:eastAsia="zh-CN"/>
              </w:rPr>
            </w:pPr>
            <w:r>
              <w:rPr>
                <w:rFonts w:hint="eastAsia" w:ascii="Arial"/>
                <w:sz w:val="20"/>
                <w:szCs w:val="20"/>
                <w:lang w:val="en-US" w:eastAsia="zh-CN"/>
              </w:rPr>
              <w:t>3</w:t>
            </w:r>
          </w:p>
        </w:tc>
        <w:tc>
          <w:tcPr>
            <w:tcW w:w="2373" w:type="dxa"/>
            <w:vAlign w:val="top"/>
          </w:tcPr>
          <w:p>
            <w:pPr>
              <w:rPr>
                <w:rFonts w:ascii="Arial"/>
                <w:sz w:val="20"/>
                <w:szCs w:val="20"/>
              </w:rPr>
            </w:pPr>
          </w:p>
          <w:p>
            <w:pPr>
              <w:bidi w:val="0"/>
              <w:jc w:val="left"/>
              <w:rPr>
                <w:rFonts w:hint="eastAsia" w:asciiTheme="minorHAnsi" w:hAnsiTheme="minorHAnsi" w:eastAsiaTheme="minorEastAsia" w:cstheme="minorBidi"/>
                <w:kern w:val="2"/>
                <w:sz w:val="20"/>
                <w:szCs w:val="20"/>
                <w:lang w:val="en-US" w:eastAsia="zh-CN" w:bidi="ar-SA"/>
              </w:rPr>
            </w:pPr>
          </w:p>
          <w:p>
            <w:pPr>
              <w:bidi w:val="0"/>
              <w:jc w:val="left"/>
              <w:rPr>
                <w:rFonts w:asciiTheme="minorHAnsi" w:hAnsiTheme="minorHAnsi" w:eastAsiaTheme="minorEastAsia" w:cstheme="minorBidi"/>
                <w:kern w:val="2"/>
                <w:sz w:val="20"/>
                <w:szCs w:val="20"/>
                <w:lang w:val="en-US" w:eastAsia="zh-CN" w:bidi="ar-SA"/>
              </w:rPr>
            </w:pPr>
            <w:r>
              <w:rPr>
                <w:rFonts w:hint="eastAsia" w:asciiTheme="minorHAnsi" w:hAnsiTheme="minorHAnsi" w:eastAsiaTheme="minorEastAsia" w:cstheme="minorBidi"/>
                <w:kern w:val="2"/>
                <w:sz w:val="20"/>
                <w:szCs w:val="20"/>
                <w:lang w:val="en-US" w:eastAsia="zh-CN" w:bidi="ar-SA"/>
              </w:rPr>
              <w:t>对造成公路损坏未报告的处罚</w:t>
            </w:r>
          </w:p>
        </w:tc>
        <w:tc>
          <w:tcPr>
            <w:tcW w:w="3305" w:type="dxa"/>
            <w:vAlign w:val="top"/>
          </w:tcPr>
          <w:p>
            <w:pPr>
              <w:bidi w:val="0"/>
              <w:jc w:val="left"/>
              <w:rPr>
                <w:rFonts w:hint="eastAsia" w:asciiTheme="minorHAnsi" w:hAnsiTheme="minorHAnsi" w:eastAsiaTheme="minorEastAsia" w:cstheme="minorBidi"/>
                <w:kern w:val="2"/>
                <w:sz w:val="20"/>
                <w:szCs w:val="20"/>
                <w:lang w:val="en-US" w:eastAsia="zh-CN" w:bidi="ar-SA"/>
              </w:rPr>
            </w:pPr>
          </w:p>
          <w:p>
            <w:pPr>
              <w:bidi w:val="0"/>
              <w:jc w:val="left"/>
              <w:rPr>
                <w:rFonts w:asciiTheme="minorHAnsi" w:hAnsiTheme="minorHAnsi" w:eastAsiaTheme="minorEastAsia" w:cstheme="minorBidi"/>
                <w:kern w:val="2"/>
                <w:sz w:val="20"/>
                <w:szCs w:val="20"/>
                <w:lang w:val="en-US" w:eastAsia="zh-CN" w:bidi="ar-SA"/>
              </w:rPr>
            </w:pPr>
            <w:r>
              <w:rPr>
                <w:rFonts w:hint="eastAsia" w:asciiTheme="minorHAnsi" w:hAnsiTheme="minorHAnsi" w:eastAsiaTheme="minorEastAsia" w:cstheme="minorBidi"/>
                <w:kern w:val="2"/>
                <w:sz w:val="20"/>
                <w:szCs w:val="20"/>
                <w:lang w:val="en-US" w:eastAsia="zh-CN" w:bidi="ar-SA"/>
              </w:rPr>
              <w:t>《公路法》第七十八条  违反本法第五十三条规定，造成公路损坏，未报告的，由交通主管部门处一千元以下罚款</w:t>
            </w:r>
          </w:p>
        </w:tc>
        <w:tc>
          <w:tcPr>
            <w:tcW w:w="4657" w:type="dxa"/>
            <w:vAlign w:val="top"/>
          </w:tcPr>
          <w:p>
            <w:pPr>
              <w:bidi w:val="0"/>
              <w:jc w:val="left"/>
              <w:rPr>
                <w:rFonts w:hint="eastAsia"/>
                <w:sz w:val="20"/>
                <w:szCs w:val="20"/>
                <w:lang w:val="en-US" w:eastAsia="zh-CN"/>
              </w:rPr>
            </w:pPr>
            <w:r>
              <w:rPr>
                <w:rFonts w:hint="eastAsia"/>
                <w:sz w:val="20"/>
                <w:szCs w:val="20"/>
                <w:lang w:val="en-US" w:eastAsia="zh-CN"/>
              </w:rPr>
              <w:t>1.一个自然年度在全省范围内首次实施该违法行为。</w:t>
            </w:r>
          </w:p>
          <w:p>
            <w:pPr>
              <w:bidi w:val="0"/>
              <w:jc w:val="left"/>
              <w:rPr>
                <w:rFonts w:hint="eastAsia"/>
                <w:sz w:val="20"/>
                <w:szCs w:val="20"/>
                <w:lang w:val="en-US" w:eastAsia="zh-CN"/>
              </w:rPr>
            </w:pPr>
            <w:r>
              <w:rPr>
                <w:rFonts w:hint="eastAsia"/>
                <w:sz w:val="20"/>
                <w:szCs w:val="20"/>
                <w:lang w:val="en-US" w:eastAsia="zh-CN"/>
              </w:rPr>
              <w:t>2.违法行为调查过程中，不存在拒不接受执法部门调查处罚、阻碍执法、煽动抗拒执法等妨碍公务的行为。</w:t>
            </w:r>
          </w:p>
          <w:p>
            <w:pPr>
              <w:bidi w:val="0"/>
              <w:jc w:val="left"/>
              <w:rPr>
                <w:rFonts w:hint="eastAsia"/>
                <w:sz w:val="20"/>
                <w:szCs w:val="20"/>
                <w:lang w:val="en-US" w:eastAsia="zh-CN"/>
              </w:rPr>
            </w:pPr>
            <w:r>
              <w:rPr>
                <w:rFonts w:hint="eastAsia"/>
                <w:sz w:val="20"/>
                <w:szCs w:val="20"/>
                <w:lang w:val="en-US" w:eastAsia="zh-CN"/>
              </w:rPr>
              <w:t>3.损坏的公路及公路附属设施不影响通行安全的。</w:t>
            </w:r>
          </w:p>
          <w:p>
            <w:pPr>
              <w:bidi w:val="0"/>
              <w:jc w:val="left"/>
              <w:rPr>
                <w:sz w:val="20"/>
                <w:szCs w:val="20"/>
                <w:lang w:val="en-US" w:eastAsia="zh-CN"/>
              </w:rPr>
            </w:pPr>
            <w:r>
              <w:rPr>
                <w:rFonts w:hint="eastAsia"/>
                <w:sz w:val="20"/>
                <w:szCs w:val="20"/>
                <w:lang w:val="en-US" w:eastAsia="zh-CN"/>
              </w:rPr>
              <w:t>4.违法行为不属于主观故意的。</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hint="default" w:ascii="Arial" w:eastAsiaTheme="minorEastAsia"/>
                <w:sz w:val="20"/>
                <w:szCs w:val="20"/>
                <w:lang w:val="en-US" w:eastAsia="zh-CN"/>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0" w:hRule="atLeast"/>
        </w:trPr>
        <w:tc>
          <w:tcPr>
            <w:tcW w:w="840" w:type="dxa"/>
            <w:vAlign w:val="top"/>
          </w:tcPr>
          <w:p>
            <w:pPr>
              <w:jc w:val="center"/>
              <w:rPr>
                <w:rFonts w:hint="eastAsia" w:ascii="Arial"/>
                <w:sz w:val="20"/>
                <w:szCs w:val="20"/>
                <w:lang w:val="en-US" w:eastAsia="zh-CN"/>
              </w:rPr>
            </w:pPr>
          </w:p>
          <w:p>
            <w:pPr>
              <w:jc w:val="center"/>
              <w:rPr>
                <w:rFonts w:hint="eastAsia" w:ascii="Arial"/>
                <w:sz w:val="20"/>
                <w:szCs w:val="20"/>
                <w:lang w:val="en-US" w:eastAsia="zh-CN"/>
              </w:rPr>
            </w:pPr>
          </w:p>
          <w:p>
            <w:pPr>
              <w:jc w:val="center"/>
              <w:rPr>
                <w:rFonts w:hint="eastAsia" w:ascii="Arial"/>
                <w:sz w:val="20"/>
                <w:szCs w:val="20"/>
                <w:lang w:val="en-US" w:eastAsia="zh-CN"/>
              </w:rPr>
            </w:pPr>
          </w:p>
          <w:p>
            <w:pPr>
              <w:jc w:val="center"/>
              <w:rPr>
                <w:rFonts w:hint="eastAsia" w:ascii="Arial" w:eastAsiaTheme="minorEastAsia"/>
                <w:sz w:val="20"/>
                <w:szCs w:val="20"/>
                <w:lang w:val="en-US" w:eastAsia="zh-CN"/>
              </w:rPr>
            </w:pPr>
            <w:r>
              <w:rPr>
                <w:rFonts w:hint="eastAsia" w:ascii="Arial"/>
                <w:sz w:val="20"/>
                <w:szCs w:val="20"/>
                <w:lang w:val="en-US" w:eastAsia="zh-CN"/>
              </w:rPr>
              <w:t>4</w:t>
            </w:r>
          </w:p>
        </w:tc>
        <w:tc>
          <w:tcPr>
            <w:tcW w:w="2373" w:type="dxa"/>
            <w:vAlign w:val="top"/>
          </w:tcPr>
          <w:p>
            <w:pPr>
              <w:rPr>
                <w:rFonts w:ascii="Arial"/>
                <w:sz w:val="20"/>
                <w:szCs w:val="20"/>
              </w:rPr>
            </w:pPr>
          </w:p>
          <w:p>
            <w:pPr>
              <w:bidi w:val="0"/>
              <w:jc w:val="left"/>
              <w:rPr>
                <w:rFonts w:asciiTheme="minorHAnsi" w:hAnsiTheme="minorHAnsi" w:eastAsiaTheme="minorEastAsia" w:cstheme="minorBidi"/>
                <w:kern w:val="2"/>
                <w:sz w:val="20"/>
                <w:szCs w:val="20"/>
                <w:lang w:val="en-US" w:eastAsia="zh-CN" w:bidi="ar-SA"/>
              </w:rPr>
            </w:pPr>
            <w:r>
              <w:rPr>
                <w:rFonts w:hint="eastAsia" w:asciiTheme="minorHAnsi" w:hAnsiTheme="minorHAnsi" w:eastAsiaTheme="minorEastAsia" w:cstheme="minorBidi"/>
                <w:kern w:val="2"/>
                <w:sz w:val="20"/>
                <w:szCs w:val="20"/>
                <w:lang w:val="en-US" w:eastAsia="zh-CN" w:bidi="ar-SA"/>
              </w:rPr>
              <w:t>对未经批准在公路用地范围内擅自设置公路标志以外的其他标志的处罚</w:t>
            </w:r>
          </w:p>
        </w:tc>
        <w:tc>
          <w:tcPr>
            <w:tcW w:w="3305" w:type="dxa"/>
            <w:vAlign w:val="top"/>
          </w:tcPr>
          <w:p>
            <w:pPr>
              <w:rPr>
                <w:rFonts w:ascii="Arial"/>
                <w:sz w:val="20"/>
                <w:szCs w:val="20"/>
              </w:rPr>
            </w:pPr>
            <w:r>
              <w:rPr>
                <w:rFonts w:hint="eastAsia" w:ascii="Arial"/>
                <w:sz w:val="20"/>
                <w:szCs w:val="20"/>
              </w:rPr>
              <w:t>《中华人民共和国公路法》第七十九条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4657" w:type="dxa"/>
            <w:vAlign w:val="top"/>
          </w:tcPr>
          <w:p>
            <w:pPr>
              <w:rPr>
                <w:rFonts w:hint="eastAsia" w:ascii="Arial"/>
                <w:sz w:val="20"/>
                <w:szCs w:val="20"/>
              </w:rPr>
            </w:pPr>
            <w:r>
              <w:rPr>
                <w:rFonts w:hint="eastAsia" w:ascii="Arial"/>
                <w:sz w:val="20"/>
                <w:szCs w:val="20"/>
              </w:rPr>
              <w:t>1.首次实施违法行为。</w:t>
            </w:r>
          </w:p>
          <w:p>
            <w:pPr>
              <w:rPr>
                <w:rFonts w:hint="eastAsia" w:ascii="Arial"/>
                <w:sz w:val="20"/>
                <w:szCs w:val="20"/>
              </w:rPr>
            </w:pPr>
            <w:r>
              <w:rPr>
                <w:rFonts w:hint="eastAsia" w:ascii="Arial"/>
                <w:sz w:val="20"/>
                <w:szCs w:val="20"/>
              </w:rPr>
              <w:t>2.违法行为调查过程中，不存在拒不接受执法部门调查处理、阻碍执法、煽动抗拒执法等妨碍执行公务的行为。3.按执法部门要求立即或在规定期限内清理拆除相应的非公路标志和设施。</w:t>
            </w:r>
          </w:p>
          <w:p>
            <w:pPr>
              <w:rPr>
                <w:rFonts w:ascii="Arial"/>
                <w:sz w:val="20"/>
                <w:szCs w:val="20"/>
              </w:rPr>
            </w:pPr>
            <w:r>
              <w:rPr>
                <w:rFonts w:hint="eastAsia" w:ascii="Arial"/>
                <w:sz w:val="20"/>
                <w:szCs w:val="20"/>
              </w:rPr>
              <w:t>4.未造成公路路产损害，引发交通事故和交通拥堵等危害后果。</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hint="default" w:ascii="Arial" w:eastAsiaTheme="minorEastAsia"/>
                <w:sz w:val="21"/>
                <w:lang w:val="en-US" w:eastAsia="zh-CN"/>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4" w:hRule="atLeast"/>
        </w:trPr>
        <w:tc>
          <w:tcPr>
            <w:tcW w:w="840" w:type="dxa"/>
            <w:vAlign w:val="center"/>
          </w:tcPr>
          <w:p>
            <w:pPr>
              <w:keepNext w:val="0"/>
              <w:keepLines w:val="0"/>
              <w:widowControl/>
              <w:suppressLineNumbers w:val="0"/>
              <w:jc w:val="center"/>
              <w:textAlignment w:val="center"/>
              <w:rPr>
                <w:rFonts w:hint="eastAsia" w:ascii="Arial" w:eastAsiaTheme="minorEastAsia"/>
                <w:sz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对在公路建筑控制区内修建建筑物、地面构筑物的处罚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18"/>
                <w:szCs w:val="18"/>
                <w:u w:val="none"/>
                <w:lang w:val="en-US" w:eastAsia="zh-CN" w:bidi="ar"/>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465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1.首次实施违法行为。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3.修建建筑物、构筑物的施工行为处于初始阶段。</w:t>
            </w:r>
          </w:p>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4.按执法部门要求立即停止修建行为，并立即或在规定的期限内清理拆除违法修建的建筑物和构筑物、恢复原状。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5.未发生倾覆、倒塌等事故。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6.未影响公路本身安全、完好和畅通。</w:t>
            </w:r>
          </w:p>
        </w:tc>
        <w:tc>
          <w:tcPr>
            <w:tcW w:w="1907" w:type="dxa"/>
            <w:vAlign w:val="center"/>
          </w:tcPr>
          <w:p>
            <w:pPr>
              <w:keepNext w:val="0"/>
              <w:keepLines w:val="0"/>
              <w:widowControl/>
              <w:suppressLineNumbers w:val="0"/>
              <w:jc w:val="center"/>
              <w:textAlignment w:val="center"/>
              <w:rPr>
                <w:rFonts w:hint="default" w:ascii="Arial" w:eastAsiaTheme="minorEastAsia"/>
                <w:sz w:val="21"/>
                <w:lang w:val="en-US" w:eastAsia="zh-CN"/>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0"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eastAsiaTheme="minorEastAsia"/>
                <w:sz w:val="21"/>
                <w:lang w:val="en-US" w:eastAsia="zh-CN"/>
              </w:rPr>
            </w:pPr>
            <w:r>
              <w:rPr>
                <w:rFonts w:hint="eastAsia" w:ascii="Arial"/>
                <w:sz w:val="21"/>
                <w:lang w:val="en-US" w:eastAsia="zh-CN"/>
              </w:rPr>
              <w:t>6</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对未经许可利用跨越公路的设施悬挂非公路标志的处罚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《公路安全保护条例》第二十七条第（五）项</w:t>
            </w:r>
            <w:r>
              <w:rPr>
                <w:rStyle w:val="6"/>
                <w:lang w:val="en-US" w:eastAsia="zh-CN" w:bidi="ar"/>
              </w:rPr>
              <w:t xml:space="preserve"> </w:t>
            </w:r>
            <w:r>
              <w:rPr>
                <w:rStyle w:val="7"/>
                <w:lang w:val="en-US" w:eastAsia="zh-CN" w:bidi="ar"/>
              </w:rPr>
              <w:t xml:space="preserve"> 进行下列涉路施工活动，建设单位应当向公路管理机构提出申请：（五）利用跨越公路的设施悬挂非公路标志。</w:t>
            </w:r>
            <w:r>
              <w:rPr>
                <w:rStyle w:val="7"/>
                <w:lang w:val="en-US" w:eastAsia="zh-CN" w:bidi="ar"/>
              </w:rPr>
              <w:br w:type="textWrapping"/>
            </w:r>
            <w:r>
              <w:rPr>
                <w:rStyle w:val="7"/>
                <w:lang w:val="en-US" w:eastAsia="zh-CN" w:bidi="ar"/>
              </w:rPr>
              <w:t>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3.按执法部门要求立即或在规定期限内清理拆除违法悬挂的非公路标志。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4.未发生悬挂的非公路标志脱落、跌落、坠落等情况。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5.未造成交通事故、交通拥堵、损坏公路路产等危害后果。</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hint="default" w:ascii="Arial" w:eastAsiaTheme="minorEastAsia"/>
                <w:sz w:val="20"/>
                <w:szCs w:val="20"/>
                <w:lang w:val="en-US" w:eastAsia="zh-CN"/>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1"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ind w:firstLine="420" w:firstLineChars="200"/>
              <w:jc w:val="both"/>
              <w:rPr>
                <w:rFonts w:hint="eastAsia" w:ascii="Arial" w:eastAsiaTheme="minorEastAsia"/>
                <w:sz w:val="21"/>
                <w:lang w:val="en-US" w:eastAsia="zh-CN"/>
              </w:rPr>
            </w:pPr>
            <w:r>
              <w:rPr>
                <w:rFonts w:hint="eastAsia" w:ascii="Arial"/>
                <w:sz w:val="21"/>
                <w:lang w:val="en-US" w:eastAsia="zh-CN"/>
              </w:rPr>
              <w:t>7</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对在公路及公路用地范围内摆摊设点、堆放物品，影响公路畅通的处罚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18"/>
                <w:szCs w:val="18"/>
                <w:u w:val="none"/>
                <w:lang w:val="en-US" w:eastAsia="zh-CN" w:bidi="ar"/>
              </w:rPr>
              <w:t>《中华人民共和国公路法》第四十六条  任何单位和个人不得在公路上及公路用地范围内摆摊设点、堆放物品、倾倒垃圾、设置障碍、挖沟饮水、利用公路边沟排放污物或这进行其他损坏、污染公路和影响公路畅通的活动。第七十七条  违反本法第四十六条规定，造成公路损坏、污染或影响公路畅通的，或者违反本法第五十一条规定，将公路作为试车场地的，由交通运输主管部门责令停止违法行为，可以处五千元以下罚款。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3.按执法部门要求立即清除摆摊设点和堆放物品。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4.该行为未造成公路路产损坏，未造成交通拥堵或引发交通事故等危害后果。</w:t>
            </w:r>
          </w:p>
        </w:tc>
        <w:tc>
          <w:tcPr>
            <w:tcW w:w="1907" w:type="dxa"/>
            <w:vAlign w:val="center"/>
          </w:tcPr>
          <w:p>
            <w:pPr>
              <w:keepNext w:val="0"/>
              <w:keepLines w:val="0"/>
              <w:widowControl/>
              <w:suppressLineNumbers w:val="0"/>
              <w:ind w:firstLine="200" w:firstLineChars="100"/>
              <w:jc w:val="left"/>
              <w:textAlignment w:val="center"/>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1"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eastAsiaTheme="minorEastAsia"/>
                <w:sz w:val="21"/>
                <w:lang w:val="en-US" w:eastAsia="zh-CN"/>
              </w:rPr>
            </w:pPr>
            <w:r>
              <w:rPr>
                <w:rFonts w:hint="eastAsia" w:ascii="Arial"/>
                <w:sz w:val="21"/>
                <w:lang w:val="en-US" w:eastAsia="zh-CN"/>
              </w:rPr>
              <w:t>8</w:t>
            </w:r>
          </w:p>
        </w:tc>
        <w:tc>
          <w:tcPr>
            <w:tcW w:w="2373" w:type="dxa"/>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对利用公路桥梁（含桥下空间）、涵洞堆放物品，搭建设施的处罚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《公路安全保护条例》第二十二条  禁止利用公路桥梁进行牵拉、吊装等危及公路桥梁安全的施工作业。禁止利用公路桥梁（含桥下空间）、公路隧道、涵洞堆放物品、搭建设施以及铺设高压电线和输送易燃、易爆或者其他有毒有害气体、液体的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第五十九条  违反本条例第二十二条规定，由公路管理机构责令改正，处2万元以上10万元以下罚款。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18"/>
                <w:szCs w:val="18"/>
                <w:u w:val="none"/>
                <w:lang w:val="en-US" w:eastAsia="zh-CN" w:bidi="ar"/>
              </w:rPr>
              <w:t>1.首次实施违法行为。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3.堆放的物品或搭建设施属于能够立即清除、拆除并恢复桥下空间原貌的情况。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4.按执法部门要求立即清除或在规定期限内拆除堆放物品和搭建的设施，消除安全隐患。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5.不适用铺设高压电线和输送易燃、易爆或者其他有毒有害气体、液体的管道的情形。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6.该行为未造成影响桥体安全等危害后果。</w:t>
            </w:r>
          </w:p>
        </w:tc>
        <w:tc>
          <w:tcPr>
            <w:tcW w:w="1907" w:type="dxa"/>
            <w:vAlign w:val="center"/>
          </w:tcPr>
          <w:p>
            <w:pPr>
              <w:keepNext w:val="0"/>
              <w:keepLines w:val="0"/>
              <w:widowControl/>
              <w:suppressLineNumbers w:val="0"/>
              <w:ind w:firstLine="200" w:firstLineChars="100"/>
              <w:jc w:val="left"/>
              <w:textAlignment w:val="center"/>
              <w:rPr>
                <w:rFonts w:ascii="Arial"/>
                <w:sz w:val="21"/>
              </w:rPr>
            </w:pPr>
            <w:r>
              <w:rPr>
                <w:rFonts w:hint="eastAsia" w:ascii="Arial"/>
                <w:sz w:val="20"/>
                <w:szCs w:val="20"/>
                <w:lang w:val="en-US" w:eastAsia="zh-CN"/>
              </w:rPr>
              <w:t>双辽市交通运输局</w:t>
            </w:r>
          </w:p>
        </w:tc>
        <w:tc>
          <w:tcPr>
            <w:tcW w:w="796" w:type="dxa"/>
            <w:vAlign w:val="center"/>
          </w:tcPr>
          <w:p>
            <w:pPr>
              <w:keepNext w:val="0"/>
              <w:keepLines w:val="0"/>
              <w:widowControl/>
              <w:suppressLineNumbers w:val="0"/>
              <w:jc w:val="left"/>
              <w:textAlignment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3"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9</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对将公路作为试车场地的处罚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《中华人民共和国公路法》第五十一条  机动车制造厂和其他单位不得将公路作为检验机动车制动性的试车场地。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第七十七条  违反本法第四十六条规定，造成公路损坏、污染或影响公路畅通的，或者违法本法第五十一条规定，将公路作为试车场地的，由交通运输主管部门责令停止违法行为，可以处五千元以下罚款。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3.立即停止实施违法行为，按执法部门要求驶离公路。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4.未造成交通拥堵、公路路产损坏，未引发交通事故等危害后果。</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8"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10</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对在公路建筑控制区外修建的建筑物、地面构筑物以及其他设施遮挡公路标志或者妨碍安全视距的处罚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《公路安全保护条例》第五十六条  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4657" w:type="dxa"/>
            <w:vAlign w:val="center"/>
          </w:tcPr>
          <w:p>
            <w:pPr>
              <w:keepNext w:val="0"/>
              <w:keepLines w:val="0"/>
              <w:widowControl/>
              <w:suppressLineNumbers w:val="0"/>
              <w:jc w:val="both"/>
              <w:textAlignment w:val="center"/>
              <w:rPr>
                <w:rFonts w:ascii="Arial"/>
                <w:sz w:val="21"/>
              </w:rPr>
            </w:pPr>
            <w:r>
              <w:rPr>
                <w:rFonts w:hint="eastAsia" w:ascii="宋体" w:hAnsi="宋体" w:eastAsia="宋体" w:cs="宋体"/>
                <w:i w:val="0"/>
                <w:iCs w:val="0"/>
                <w:color w:val="000000"/>
                <w:kern w:val="0"/>
                <w:sz w:val="18"/>
                <w:szCs w:val="18"/>
                <w:u w:val="none"/>
                <w:lang w:val="en-US" w:eastAsia="zh-CN" w:bidi="ar"/>
              </w:rPr>
              <w:t>1.建筑物、构筑物所有人自成立以来在全省范围内首次实施该违法行为。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2.违法行为调查过程中，不存在拒不接受执法部门调查处罚、阻碍执法、煽动抗拒执法等妨碍公务的行为。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3.修建建筑物、构筑物的施工行为属于初始阶段。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4.按执法部门要求立即停止修建行为，并立即在规定期限内清理拆除违法修建的建筑物、构筑物、恢复原状。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5.未影响公路本身安全、完好和畅通。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6.被遮挡的公路标志不属于影响公路通行安全的禁令标志、警示标志或指路标志等，且违法修建的建筑物、构筑物不位于公路的急弯、徒坡、临崖、长大桥隧等特殊路段。</w:t>
            </w:r>
          </w:p>
        </w:tc>
        <w:tc>
          <w:tcPr>
            <w:tcW w:w="1907" w:type="dxa"/>
            <w:vAlign w:val="top"/>
          </w:tcPr>
          <w:p>
            <w:pPr>
              <w:rPr>
                <w:rFonts w:ascii="Arial"/>
                <w:sz w:val="21"/>
              </w:rPr>
            </w:pPr>
          </w:p>
          <w:p>
            <w:pPr>
              <w:rPr>
                <w:rFonts w:ascii="Arial"/>
                <w:sz w:val="21"/>
              </w:rPr>
            </w:pPr>
          </w:p>
          <w:p>
            <w:pPr>
              <w:rPr>
                <w:rFonts w:ascii="Arial"/>
                <w:sz w:val="21"/>
              </w:rPr>
            </w:pPr>
          </w:p>
          <w:p>
            <w:pPr>
              <w:rPr>
                <w:rFonts w:ascii="Arial"/>
                <w:sz w:val="21"/>
              </w:rPr>
            </w:pPr>
          </w:p>
          <w:p>
            <w:pPr>
              <w:ind w:firstLine="200" w:firstLineChars="100"/>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3"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ind w:firstLine="210" w:firstLineChars="100"/>
              <w:jc w:val="both"/>
              <w:rPr>
                <w:rFonts w:hint="default" w:ascii="Arial" w:eastAsiaTheme="minorEastAsia"/>
                <w:sz w:val="21"/>
                <w:lang w:val="en-US" w:eastAsia="zh-CN"/>
              </w:rPr>
            </w:pPr>
            <w:r>
              <w:rPr>
                <w:rFonts w:hint="eastAsia" w:ascii="Arial"/>
                <w:sz w:val="21"/>
                <w:lang w:val="en-US" w:eastAsia="zh-CN"/>
              </w:rPr>
              <w:t>11</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对道路运输经营者使用卫星定位装置出现故障不能保持在线的运输车辆从事经营活动的处罚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《道路运输车辆动态监督管理办法》第三十七条  违反本办法的规定，道路运输经营者使用卫星定位装置出现故障不能保持在线的运输车辆从事经营活动的，由县级以上道路运输管理机构责令改正。拒不改正的，处800元罚款。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2.违法行为调查过程中，不存在拒不接受执法部门调查处理、阻碍执法、煽动抗拒执法等妨碍执法公务的行为。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3.卫星定位装置行驶途中出现故障不能保持在线，非客货运输经营者行为所致。</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3"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12</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对客运经营者、货运经营者不按规定维护和检测运输车辆的处罚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《中华人民共和国道路运输条例》第七十条第一款  违反本条例的规定，客运经营者、货运经营者不按规定维护和检测运输车辆的，由县级以上地方人民政府交通运输主管部门责令改正，处1000元以上5000元以下的罚款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1.一个自然年度在企业所在地首次实施该违法行为。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2.违法行为调查过程中，不存在拒不接受执法部门调查处罚、阻碍执法、煽动抗拒执法等妨碍公务的行为。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3.按执法部门要求在规定期限内整改。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4.不影响车辆瞭望、制动或安全行驶，无行车安全隐患。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5.未造成交通事故或损坏公路等后果。</w:t>
            </w:r>
          </w:p>
        </w:tc>
        <w:tc>
          <w:tcPr>
            <w:tcW w:w="1907" w:type="dxa"/>
            <w:vAlign w:val="top"/>
          </w:tcPr>
          <w:p>
            <w:pPr>
              <w:rPr>
                <w:rFonts w:hint="eastAsia" w:ascii="Arial"/>
                <w:sz w:val="21"/>
                <w:lang w:val="en-US" w:eastAsia="zh-CN"/>
              </w:rPr>
            </w:pPr>
            <w:r>
              <w:rPr>
                <w:rFonts w:hint="eastAsia" w:ascii="Arial"/>
                <w:sz w:val="21"/>
                <w:lang w:val="en-US" w:eastAsia="zh-CN"/>
              </w:rPr>
              <w:t xml:space="preserve">  </w:t>
            </w:r>
          </w:p>
          <w:p>
            <w:pPr>
              <w:rPr>
                <w:rFonts w:hint="eastAsia" w:ascii="Arial"/>
                <w:sz w:val="21"/>
                <w:lang w:val="en-US" w:eastAsia="zh-CN"/>
              </w:rPr>
            </w:pPr>
          </w:p>
          <w:p>
            <w:pPr>
              <w:rPr>
                <w:rFonts w:hint="eastAsia" w:ascii="Arial"/>
                <w:sz w:val="21"/>
                <w:lang w:val="en-US" w:eastAsia="zh-CN"/>
              </w:rPr>
            </w:pPr>
          </w:p>
          <w:p>
            <w:pPr>
              <w:rPr>
                <w:rFonts w:hint="default" w:ascii="Arial"/>
                <w:sz w:val="21"/>
                <w:lang w:val="en-US" w:eastAsia="zh-CN"/>
              </w:rPr>
            </w:pPr>
            <w:r>
              <w:rPr>
                <w:rFonts w:hint="eastAsia" w:ascii="Arial"/>
                <w:sz w:val="21"/>
                <w:lang w:val="en-US" w:eastAsia="zh-CN"/>
              </w:rPr>
              <w:t xml:space="preserve">  </w:t>
            </w: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7"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ind w:firstLine="210" w:firstLineChars="100"/>
              <w:jc w:val="both"/>
              <w:rPr>
                <w:rFonts w:hint="default" w:ascii="Arial" w:eastAsiaTheme="minorEastAsia"/>
                <w:sz w:val="21"/>
                <w:lang w:val="en-US" w:eastAsia="zh-CN"/>
              </w:rPr>
            </w:pPr>
            <w:r>
              <w:rPr>
                <w:rFonts w:hint="eastAsia" w:ascii="Arial"/>
                <w:sz w:val="21"/>
                <w:lang w:val="en-US" w:eastAsia="zh-CN"/>
              </w:rPr>
              <w:t>13</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对客运经营者站外揽客、途中甩客的处罚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《吉林省道路运输条例》第五十三条  违反本条例，有下列行为之一的，由县级以上道路运输管理机构责令限期改正，处一千元以上三千元以下的罚款；情节严重的，由原许可机关吊销其经营许可:（三）客运经营者未按照批准的线路、区域、班次、停靠站点和时间营运，站外揽客、途中甩客或者擅自暂停、终止客运经营，以及包车客运沿途招揽旅客的；</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1.一个自然年度在其经营许可范围内首次实施该违法行为。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2.违法行为调查过程中，不存在拒不接受执法部门调查处罚、阻碍执法、煽动抗拒执法等妨碍公务的行为。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3.按执法部门要求立即整改。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4.未对乘客造成直接经济损失或人身伤害。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5.未造成不良社会影响。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6.能够得到乘客的谅解。</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3"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14</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对道路运输经营者未按照规定的周期和频次进行技术等级评定的处罚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《道路运输车辆技术管理规定》第三十一条第（三）项  违反本规定，道路运输经营者有下列行为之一的，县级以上道路运输管理机构应当责令改正，给予警告；情节严重的，处以1000元以上5000元以下罚款：（三）未按照规定的周期和频次进行车辆综合性能检测和技术等级评定的。</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3.逾期开展技术等级评定不超过30天的。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4.经责令改正，在要求的期限内进行技术等级评定，检验结果符合营运车辆相关安全标准和技术标准的。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5.车辆未因安全性能和技术等级问题引发交通事故、服务质量事件危害后果。</w:t>
            </w:r>
          </w:p>
        </w:tc>
        <w:tc>
          <w:tcPr>
            <w:tcW w:w="1907" w:type="dxa"/>
            <w:vAlign w:val="top"/>
          </w:tcPr>
          <w:p>
            <w:pPr>
              <w:rPr>
                <w:rFonts w:ascii="Arial"/>
                <w:sz w:val="21"/>
              </w:rPr>
            </w:pPr>
          </w:p>
          <w:p>
            <w:pPr>
              <w:rPr>
                <w:rFonts w:ascii="Arial"/>
                <w:sz w:val="21"/>
              </w:rPr>
            </w:pPr>
          </w:p>
          <w:p>
            <w:pPr>
              <w:rPr>
                <w:rFonts w:ascii="Arial"/>
                <w:sz w:val="21"/>
              </w:rPr>
            </w:pPr>
          </w:p>
          <w:p>
            <w:pPr>
              <w:rPr>
                <w:rFonts w:ascii="Arial"/>
                <w:sz w:val="21"/>
              </w:rPr>
            </w:pPr>
          </w:p>
          <w:p>
            <w:pPr>
              <w:ind w:firstLine="200" w:firstLineChars="100"/>
              <w:rPr>
                <w:rFonts w:hint="default" w:ascii="Arial" w:eastAsiaTheme="minorEastAsia"/>
                <w:sz w:val="21"/>
                <w:lang w:val="en-US" w:eastAsia="zh-CN"/>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8"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15</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对客运经营者不按批准的客运站点停靠的处罚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《中华人民共和国道路运输条例》第六十九条第（一）项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3.无超员载客的行为，停靠站点仍在规定的运行线路范围内。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4.未因此引发乘客服务质量投诉等危害后果。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5.不存在未落实安检、实名制等行为。</w:t>
            </w:r>
          </w:p>
        </w:tc>
        <w:tc>
          <w:tcPr>
            <w:tcW w:w="1907" w:type="dxa"/>
            <w:vAlign w:val="top"/>
          </w:tcPr>
          <w:p>
            <w:pPr>
              <w:rPr>
                <w:rFonts w:hint="eastAsia" w:ascii="Arial"/>
                <w:sz w:val="21"/>
                <w:lang w:val="en-US" w:eastAsia="zh-CN"/>
              </w:rPr>
            </w:pPr>
            <w:r>
              <w:rPr>
                <w:rFonts w:hint="eastAsia" w:ascii="Arial"/>
                <w:sz w:val="21"/>
                <w:lang w:val="en-US" w:eastAsia="zh-CN"/>
              </w:rPr>
              <w:t xml:space="preserve"> </w:t>
            </w:r>
          </w:p>
          <w:p>
            <w:pPr>
              <w:rPr>
                <w:rFonts w:hint="eastAsia" w:ascii="Arial"/>
                <w:sz w:val="21"/>
                <w:lang w:val="en-US" w:eastAsia="zh-CN"/>
              </w:rPr>
            </w:pPr>
          </w:p>
          <w:p>
            <w:pPr>
              <w:ind w:firstLine="200" w:firstLineChars="100"/>
              <w:rPr>
                <w:rFonts w:hint="eastAsia" w:ascii="Arial"/>
                <w:sz w:val="20"/>
                <w:szCs w:val="20"/>
                <w:lang w:val="en-US" w:eastAsia="zh-CN"/>
              </w:rPr>
            </w:pPr>
          </w:p>
          <w:p>
            <w:pPr>
              <w:ind w:firstLine="200" w:firstLineChars="100"/>
              <w:rPr>
                <w:rFonts w:hint="eastAsia" w:ascii="Arial"/>
                <w:sz w:val="20"/>
                <w:szCs w:val="20"/>
                <w:lang w:val="en-US" w:eastAsia="zh-CN"/>
              </w:rPr>
            </w:pPr>
          </w:p>
          <w:p>
            <w:pPr>
              <w:ind w:firstLine="200" w:firstLineChars="100"/>
              <w:rPr>
                <w:rFonts w:hint="eastAsia" w:ascii="Arial"/>
                <w:sz w:val="20"/>
                <w:szCs w:val="20"/>
                <w:lang w:val="en-US" w:eastAsia="zh-CN"/>
              </w:rPr>
            </w:pPr>
          </w:p>
          <w:p>
            <w:pPr>
              <w:ind w:firstLine="200" w:firstLineChars="100"/>
              <w:rPr>
                <w:rFonts w:hint="eastAsia" w:ascii="Arial"/>
                <w:sz w:val="21"/>
                <w:lang w:val="en-US" w:eastAsia="zh-CN"/>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3"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16</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对客运经营者不按规定的线路行驶的处罚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《中华人民共和国道路运输条例》第六十九条第（一）项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3.未同时存在不按批准站点停靠的行为。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4.核定运行线路在运行时间段存在发生自然灾害、交通事故、交通管制等不利于道路通行的客观因素。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5.未因此引发乘客服务质量投诉等危害后果。</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0"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17</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对出租汽车驾驶员不按照规定使用文明用语，车容车貌不符合要求的处罚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《出租汽车驾驶员从业资格管理规定》第四十条第（三）项  出租汽车驾驶员在运营过程中，应当遵守国家对驾驶员法律法规、职业道德、服务规范、安全运营等方面的资格规定，文明行为车、优质服务。出租汽车驾驶员不得有下列行为：（三）不按规定使用文明用语，车容车貌不符合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出租汽车驾驶员违反第十六条、第四十条规定的，由县级以上出租汽车行政主管部门责令改正，并处200元以上500元以下罚款。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3.承诺及时改正，使用文明用语，保证车容车貌符合要求。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4.与乘客产生矛盾纠纷，遇有乘客投诉等情况，取得乘客谅解的。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5.未引发媒体负面报道等危害后果。</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4"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18</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18"/>
                <w:szCs w:val="18"/>
                <w:u w:val="none"/>
                <w:lang w:val="en-US" w:eastAsia="zh-CN" w:bidi="ar"/>
              </w:rPr>
              <w:t>对客运经营者使用未持有合法有效《道路运输证》的车辆参加客运经营，道路货运经营者使用无《道路运输证》的车辆的处罚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18"/>
                <w:szCs w:val="18"/>
                <w:u w:val="none"/>
                <w:lang w:val="en-US" w:eastAsia="zh-CN" w:bidi="ar"/>
              </w:rPr>
              <w:t>1.《道路旅客运输及客运站管理规定》第九十七条  客运经营者使用未持合法有效《道路运输证》的车辆参加客运经营的，或者聘用不具备从业资格的驾驶员参加客运经营的，由县级以上道路运输管理机构责令改正，处3000元以上1万元以下罚款。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2.《道路货物运输及站场管理规定》第五十九条  违反本规定，取得道路货物运经营许可的道路货物运输经营者使用无道路运输证的车辆参加货物运输的，由县级以上道路运输管理机构责令改正，处3000元以上1万元以</w:t>
            </w:r>
            <w:r>
              <w:rPr>
                <w:rFonts w:hint="eastAsia" w:ascii="宋体" w:hAnsi="宋体" w:eastAsia="宋体" w:cs="宋体"/>
                <w:i w:val="0"/>
                <w:iCs w:val="0"/>
                <w:color w:val="000000"/>
                <w:kern w:val="0"/>
                <w:sz w:val="20"/>
                <w:szCs w:val="20"/>
                <w:u w:val="none"/>
                <w:lang w:val="en-US" w:eastAsia="zh-CN" w:bidi="ar"/>
              </w:rPr>
              <w:t>下</w:t>
            </w:r>
            <w:r>
              <w:rPr>
                <w:rFonts w:hint="eastAsia" w:ascii="宋体" w:hAnsi="宋体" w:eastAsia="宋体" w:cs="宋体"/>
                <w:i w:val="0"/>
                <w:iCs w:val="0"/>
                <w:color w:val="000000"/>
                <w:kern w:val="0"/>
                <w:sz w:val="18"/>
                <w:szCs w:val="18"/>
                <w:u w:val="none"/>
                <w:lang w:val="en-US" w:eastAsia="zh-CN" w:bidi="ar"/>
              </w:rPr>
              <w:t>的罚款。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3.不存在涂改、伪造、编造《道路运输证》等违法行为。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4.按执法部门要求为车辆办理道路运输证，且经评定，车辆符合相应的技术等级和类型等级。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5.不属于危险货物运输车辆。</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3"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19</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对道路运输经营者擅自改装已取得车辆营运证的道路运输车辆或使用擅自改装的道路运输车辆从事道路运输经营的处罚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1.《中华人民共和国道路运输条例》第七十条第二款  违反本条例的规定，客运经营者、货运经营者擅自改装已取得车辆营运证的车辆的，由县级以上道路运输管理机构责令改正，处5000元以上2万元以下的罚款。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2.《道路运输车辆技术管理规定》第三十一条第（二）项  违反本规定，道路运输经营者有下列行为之一的，县级以上道路运输管理机构应当责令改正，给予警告；情节严重的，处1000元以上5000元以下罚款：（二）使用报废、擅自改装、拼装、检测不合格以及其他不符合国家规定的车辆从事道路运输经营活动的。</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3.改装车辆的行为轻微，能当场恢复原状，且不影响车辆安全技术性能的。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4.按执法部门要求整改并恢复原状的。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5.未因改装造成交通事故等危害后果的。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6.该违法行为被查处的同时，不存在超限超载或超员运输违法行为。</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2"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20</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对运输危险化学品未配备必要的防护用品和应急救援器材的处罚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未配备必要的防护用品和应急救援器材的。</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3.未因此引发危险化学品道路运输事故，或加剧事故危害。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4.经责令改正，按执法部门要求完成必要的防护用品和应急救援器材配备。</w:t>
            </w:r>
          </w:p>
        </w:tc>
        <w:tc>
          <w:tcPr>
            <w:tcW w:w="1907" w:type="dxa"/>
            <w:vAlign w:val="top"/>
          </w:tcPr>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rPr>
                <w:rFonts w:hint="eastAsia" w:ascii="Arial"/>
                <w:sz w:val="20"/>
                <w:szCs w:val="20"/>
                <w:lang w:val="en-US" w:eastAsia="zh-CN"/>
              </w:rPr>
            </w:pPr>
          </w:p>
          <w:p>
            <w:pPr>
              <w:ind w:firstLine="200" w:firstLineChars="100"/>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21</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对交通运输领域建设单位未按照国家规定办理工程质量监督手续的处罚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《建设工程质量管理条例》第五十六条（六）项  违反本条例规定，建设单位有下列行为之一的，责令改正，处20万元以上50万以下的罚款：（六）未按照国家规定办理工程质量监督手续的；</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1.首次实施该违法行为。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3.在执法部门要求的期限内补充完成质量监督手续办理。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4.未造成其他危害后果。</w:t>
            </w:r>
          </w:p>
        </w:tc>
        <w:tc>
          <w:tcPr>
            <w:tcW w:w="1907" w:type="dxa"/>
            <w:vAlign w:val="center"/>
          </w:tcPr>
          <w:p>
            <w:pPr>
              <w:keepNext w:val="0"/>
              <w:keepLines w:val="0"/>
              <w:widowControl/>
              <w:suppressLineNumbers w:val="0"/>
              <w:jc w:val="center"/>
              <w:textAlignment w:val="center"/>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5"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22</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对建设工程竣工验收后，建设单位未按照规定向建设行政主管部门或者其他有关部门移交建设项目档案的处罚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《建设工程质量管理条例》第五十九条  违反本条例规定，建设工程竣工验收后，建设单位未向建设行政主管部门或者其他有关部门移交建设项目档案的，责令改正，处1万元以上10万元以下的罚款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1.建设单位自成立以来在全省范围内首次实施该违法行为。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2.违法行为调查过程中，不存在拒不接受执法部门调查处罚、阻碍执法、煽动抗拒执法等妨碍公务的行为。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3.按执法部门要求整改期限完成建设项目档案的移交。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4.未造成其他危害后果。</w:t>
            </w:r>
          </w:p>
        </w:tc>
        <w:tc>
          <w:tcPr>
            <w:tcW w:w="1907" w:type="dxa"/>
            <w:vAlign w:val="center"/>
          </w:tcPr>
          <w:p>
            <w:pPr>
              <w:keepNext w:val="0"/>
              <w:keepLines w:val="0"/>
              <w:widowControl/>
              <w:suppressLineNumbers w:val="0"/>
              <w:jc w:val="center"/>
              <w:textAlignment w:val="center"/>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5" w:hRule="atLeast"/>
        </w:trPr>
        <w:tc>
          <w:tcPr>
            <w:tcW w:w="840" w:type="dxa"/>
            <w:vAlign w:val="top"/>
          </w:tcPr>
          <w:p>
            <w:pPr>
              <w:jc w:val="center"/>
              <w:rPr>
                <w:rFonts w:hint="eastAsia" w:ascii="Arial"/>
                <w:sz w:val="21"/>
                <w:lang w:val="en-US" w:eastAsia="zh-CN"/>
              </w:rPr>
            </w:pPr>
          </w:p>
          <w:p>
            <w:pPr>
              <w:jc w:val="center"/>
              <w:rPr>
                <w:rFonts w:hint="eastAsia" w:ascii="Arial"/>
                <w:sz w:val="21"/>
                <w:lang w:val="en-US" w:eastAsia="zh-CN"/>
              </w:rPr>
            </w:pPr>
          </w:p>
          <w:p>
            <w:pPr>
              <w:jc w:val="center"/>
              <w:rPr>
                <w:rFonts w:hint="eastAsia" w:ascii="Arial"/>
                <w:sz w:val="21"/>
                <w:lang w:val="en-US" w:eastAsia="zh-CN"/>
              </w:rPr>
            </w:pPr>
          </w:p>
          <w:p>
            <w:pPr>
              <w:jc w:val="center"/>
              <w:rPr>
                <w:rFonts w:hint="default" w:ascii="Arial" w:eastAsiaTheme="minorEastAsia"/>
                <w:sz w:val="21"/>
                <w:lang w:val="en-US" w:eastAsia="zh-CN"/>
              </w:rPr>
            </w:pPr>
            <w:r>
              <w:rPr>
                <w:rFonts w:hint="eastAsia" w:ascii="Arial"/>
                <w:sz w:val="21"/>
                <w:lang w:val="en-US" w:eastAsia="zh-CN"/>
              </w:rPr>
              <w:t>23</w:t>
            </w:r>
          </w:p>
        </w:tc>
        <w:tc>
          <w:tcPr>
            <w:tcW w:w="2373"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对城市公共客运驾驶员未随车携带车辆运营证、从业资格证、出租汽车运营许可证件或者服务监督卡的处罚</w:t>
            </w:r>
          </w:p>
        </w:tc>
        <w:tc>
          <w:tcPr>
            <w:tcW w:w="330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《吉林省城市公共客运管理条例》第六十三条  城市公共客运驾驶员未随车携带车辆运营证、从业资格证、出租汽车运营许可证件或者服务监督卡的，由城市公共客运管理机构予以警告，并处以二十元以上二百元以下罚款</w:t>
            </w:r>
          </w:p>
        </w:tc>
        <w:tc>
          <w:tcPr>
            <w:tcW w:w="4657"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iCs w:val="0"/>
                <w:color w:val="000000"/>
                <w:kern w:val="0"/>
                <w:sz w:val="20"/>
                <w:szCs w:val="20"/>
                <w:u w:val="none"/>
                <w:lang w:val="en-US" w:eastAsia="zh-CN" w:bidi="ar"/>
              </w:rPr>
              <w:t>1.一个自然年度在其经营许可范围内首次实施该违法行为。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2.违法行为调查过程中，不存在拒不接受执法部门调查处罚、阻碍执法、煽动抗拒执法等妨碍公务的行为。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3.按执法部门要求立即整改。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4.当场能提供可供查验的证件信息，且经查验相关证件合法有效的。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5.未对乘客造成直接经济损失或人身伤害。</w:t>
            </w:r>
          </w:p>
        </w:tc>
        <w:tc>
          <w:tcPr>
            <w:tcW w:w="1907" w:type="dxa"/>
            <w:vAlign w:val="center"/>
          </w:tcPr>
          <w:p>
            <w:pPr>
              <w:keepNext w:val="0"/>
              <w:keepLines w:val="0"/>
              <w:widowControl/>
              <w:suppressLineNumbers w:val="0"/>
              <w:jc w:val="center"/>
              <w:textAlignment w:val="center"/>
              <w:rPr>
                <w:rFonts w:ascii="Arial"/>
                <w:sz w:val="21"/>
              </w:rPr>
            </w:pPr>
            <w:r>
              <w:rPr>
                <w:rFonts w:hint="eastAsia" w:ascii="Arial"/>
                <w:sz w:val="20"/>
                <w:szCs w:val="20"/>
                <w:lang w:val="en-US" w:eastAsia="zh-CN"/>
              </w:rPr>
              <w:t>双辽市交通运输局</w:t>
            </w:r>
          </w:p>
        </w:tc>
        <w:tc>
          <w:tcPr>
            <w:tcW w:w="796" w:type="dxa"/>
            <w:vAlign w:val="top"/>
          </w:tcPr>
          <w:p>
            <w:pPr>
              <w:rPr>
                <w:rFonts w:ascii="Arial"/>
                <w:sz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OGU0MTFmMmYyYzg4N2JhYmU5YmEwMTdiNzEzZDkifQ=="/>
  </w:docVars>
  <w:rsids>
    <w:rsidRoot w:val="5E840D48"/>
    <w:rsid w:val="05E7509A"/>
    <w:rsid w:val="088C3CD7"/>
    <w:rsid w:val="0A9F23E7"/>
    <w:rsid w:val="0B1701D0"/>
    <w:rsid w:val="0E146C48"/>
    <w:rsid w:val="0E851F84"/>
    <w:rsid w:val="0E9E4764"/>
    <w:rsid w:val="110465B6"/>
    <w:rsid w:val="11635512"/>
    <w:rsid w:val="12BC165D"/>
    <w:rsid w:val="132310AA"/>
    <w:rsid w:val="145E6E6F"/>
    <w:rsid w:val="156C2EC6"/>
    <w:rsid w:val="16603C55"/>
    <w:rsid w:val="189F7A56"/>
    <w:rsid w:val="1DE81558"/>
    <w:rsid w:val="1E0740D4"/>
    <w:rsid w:val="1E8474D2"/>
    <w:rsid w:val="1F8A4FBC"/>
    <w:rsid w:val="209E23A2"/>
    <w:rsid w:val="22EA42D3"/>
    <w:rsid w:val="22F15352"/>
    <w:rsid w:val="23E4604A"/>
    <w:rsid w:val="23EB3B50"/>
    <w:rsid w:val="26154EB4"/>
    <w:rsid w:val="2628108B"/>
    <w:rsid w:val="27D019DA"/>
    <w:rsid w:val="29DA6B40"/>
    <w:rsid w:val="2A51223A"/>
    <w:rsid w:val="2C9D5C03"/>
    <w:rsid w:val="2CF27CFD"/>
    <w:rsid w:val="2D1759B5"/>
    <w:rsid w:val="2D4367AA"/>
    <w:rsid w:val="2E7806D6"/>
    <w:rsid w:val="2EE1007D"/>
    <w:rsid w:val="31C13885"/>
    <w:rsid w:val="342C5183"/>
    <w:rsid w:val="364F4412"/>
    <w:rsid w:val="37530D23"/>
    <w:rsid w:val="38BF6A16"/>
    <w:rsid w:val="39654639"/>
    <w:rsid w:val="3A922B1F"/>
    <w:rsid w:val="3B556027"/>
    <w:rsid w:val="3C29300F"/>
    <w:rsid w:val="3CAA2FDE"/>
    <w:rsid w:val="3D9B1CEB"/>
    <w:rsid w:val="3DEA26DD"/>
    <w:rsid w:val="3ECF7E9E"/>
    <w:rsid w:val="3F5E1222"/>
    <w:rsid w:val="434A19B9"/>
    <w:rsid w:val="43A51B15"/>
    <w:rsid w:val="458F0387"/>
    <w:rsid w:val="46B54FCD"/>
    <w:rsid w:val="477D02FA"/>
    <w:rsid w:val="485F6737"/>
    <w:rsid w:val="4B7047B7"/>
    <w:rsid w:val="4E832A53"/>
    <w:rsid w:val="507765E7"/>
    <w:rsid w:val="52D03D8D"/>
    <w:rsid w:val="532C36B9"/>
    <w:rsid w:val="56757125"/>
    <w:rsid w:val="580249E9"/>
    <w:rsid w:val="5A020A0E"/>
    <w:rsid w:val="5A2C21F1"/>
    <w:rsid w:val="5AA43C05"/>
    <w:rsid w:val="5B1A029B"/>
    <w:rsid w:val="5B77749C"/>
    <w:rsid w:val="5D8D2FA6"/>
    <w:rsid w:val="5E840D48"/>
    <w:rsid w:val="5E976F63"/>
    <w:rsid w:val="5F7206A6"/>
    <w:rsid w:val="5FCD1D80"/>
    <w:rsid w:val="61642270"/>
    <w:rsid w:val="66A650D9"/>
    <w:rsid w:val="69F06D97"/>
    <w:rsid w:val="6A1A2066"/>
    <w:rsid w:val="6B8F0831"/>
    <w:rsid w:val="6DF04E8A"/>
    <w:rsid w:val="6E1B2976"/>
    <w:rsid w:val="700C2451"/>
    <w:rsid w:val="72872262"/>
    <w:rsid w:val="73EF6311"/>
    <w:rsid w:val="75AE7B06"/>
    <w:rsid w:val="763C0B41"/>
    <w:rsid w:val="779276DF"/>
    <w:rsid w:val="78016613"/>
    <w:rsid w:val="78C77BFC"/>
    <w:rsid w:val="79FE105C"/>
    <w:rsid w:val="7D33726F"/>
    <w:rsid w:val="7E7F4735"/>
    <w:rsid w:val="7E9F0934"/>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31"/>
    <w:basedOn w:val="4"/>
    <w:uiPriority w:val="0"/>
    <w:rPr>
      <w:rFonts w:hint="eastAsia" w:ascii="宋体" w:hAnsi="宋体" w:eastAsia="宋体" w:cs="宋体"/>
      <w:color w:val="000000"/>
      <w:sz w:val="20"/>
      <w:szCs w:val="20"/>
      <w:u w:val="none"/>
    </w:rPr>
  </w:style>
  <w:style w:type="character" w:customStyle="1" w:styleId="7">
    <w:name w:val="font2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7392</Words>
  <Characters>7576</Characters>
  <Lines>0</Lines>
  <Paragraphs>0</Paragraphs>
  <TotalTime>1</TotalTime>
  <ScaleCrop>false</ScaleCrop>
  <LinksUpToDate>false</LinksUpToDate>
  <CharactersWithSpaces>7646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2023-10-09T02:57:00Z</dcterms:created>
  <dc:creator>甜甜</dc:creator>
  <cp:lastModifiedBy>Amber</cp:lastModifiedBy>
  <dcterms:modified xsi:type="dcterms:W3CDTF">2023-10-27T06:30:13Z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B64A3A57C98D4F1F8B53695281B6F756_11</vt:lpwstr>
  </property>
</Properties>
</file>