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双辽市水利局重大执法决定法制审核清单</w:t>
      </w:r>
    </w:p>
    <w:p>
      <w:pPr>
        <w:spacing w:line="520" w:lineRule="exact"/>
        <w:jc w:val="left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填报单位：双辽市水利局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主要领导签字：</w:t>
      </w:r>
    </w:p>
    <w:tbl>
      <w:tblPr>
        <w:tblStyle w:val="4"/>
        <w:tblpPr w:leftFromText="180" w:rightFromText="180" w:vertAnchor="text" w:horzAnchor="page" w:tblpX="1704" w:tblpY="590"/>
        <w:tblOverlap w:val="never"/>
        <w:tblW w:w="137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274"/>
        <w:gridCol w:w="1662"/>
        <w:gridCol w:w="3369"/>
        <w:gridCol w:w="1209"/>
        <w:gridCol w:w="2271"/>
        <w:gridCol w:w="2557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执法类别</w:t>
            </w:r>
          </w:p>
        </w:tc>
        <w:tc>
          <w:tcPr>
            <w:tcW w:w="1662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具体执法决定项目</w:t>
            </w:r>
          </w:p>
        </w:tc>
        <w:tc>
          <w:tcPr>
            <w:tcW w:w="3369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执法依据</w:t>
            </w:r>
          </w:p>
        </w:tc>
        <w:tc>
          <w:tcPr>
            <w:tcW w:w="1209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承办机构</w:t>
            </w:r>
          </w:p>
        </w:tc>
        <w:tc>
          <w:tcPr>
            <w:tcW w:w="2271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应提交的审核资料</w:t>
            </w:r>
          </w:p>
        </w:tc>
        <w:tc>
          <w:tcPr>
            <w:tcW w:w="2557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审核重点</w:t>
            </w: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行政处罚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水法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中华人民共和国防洪法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中华人民共和国水土保持法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吉林省水土保持条例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eastAsia="zh-CN"/>
              </w:rPr>
              <w:t>取水许可和水资源费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val="en-US" w:eastAsia="zh-CN"/>
              </w:rPr>
              <w:t>征收管理条例》《吉林省农村水利管理条例》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法规科</w:t>
            </w:r>
          </w:p>
        </w:tc>
        <w:tc>
          <w:tcPr>
            <w:tcW w:w="2271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557" w:type="dxa"/>
            <w:vMerge w:val="restart"/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7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行政处罚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水法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中华人民共和国防洪法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中华人民共和国水土保持法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吉林省水土保持条例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eastAsia="zh-CN"/>
              </w:rPr>
              <w:t>取水许可和水资源费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val="en-US" w:eastAsia="zh-CN"/>
              </w:rPr>
              <w:t>征收管理条例》《吉林省农村水利管理条例》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法规科</w:t>
            </w: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7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2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行政处罚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水法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中华人民共和国防洪法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中华人民共和国水土保持法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吉林省水土保持条例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eastAsia="zh-CN"/>
              </w:rPr>
              <w:t>取水许可和水资源费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val="en-US" w:eastAsia="zh-CN"/>
              </w:rPr>
              <w:t>征收管理条例》《吉林省农村水利管理条例》《中华人民共和国行政处罚法》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法规科</w:t>
            </w: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7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行政许可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不予行政许可、撤销行政许可或依法应组织听证的行政许可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水法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中华人民共和国防洪法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中华人民共和国水土保持法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中华人民共和国河道管理条例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吉林省河道管理条例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吉林省水土保持条例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eastAsia="zh-CN"/>
              </w:rPr>
              <w:t>取水许可和水资源费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  <w:lang w:val="en-US" w:eastAsia="zh-CN"/>
              </w:rPr>
              <w:t>征收管理条例》《吉林省农村水利管理条例》《中华人民共和国行政许可法》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政策法规科</w:t>
            </w:r>
          </w:p>
        </w:tc>
        <w:tc>
          <w:tcPr>
            <w:tcW w:w="227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557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行政强制</w:t>
            </w:r>
          </w:p>
        </w:tc>
        <w:tc>
          <w:tcPr>
            <w:tcW w:w="1662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aps w:val="0"/>
                <w:color w:val="464445"/>
                <w:spacing w:val="0"/>
                <w:sz w:val="18"/>
                <w:szCs w:val="18"/>
                <w:bdr w:val="none" w:color="auto" w:sz="0" w:space="0"/>
                <w:shd w:val="clear" w:fill="FFFFFF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464445"/>
                <w:spacing w:val="0"/>
                <w:sz w:val="21"/>
                <w:szCs w:val="21"/>
                <w:shd w:val="clear" w:fill="FFFFFF"/>
                <w:lang w:eastAsia="zh-CN"/>
              </w:rPr>
              <w:t>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64445"/>
                <w:spacing w:val="0"/>
                <w:sz w:val="18"/>
                <w:szCs w:val="18"/>
                <w:shd w:val="clear" w:fill="FFFFFF"/>
              </w:rPr>
              <w:t>堤坡种植乔木。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64445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br w:type="textWrapping"/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aps w:val="0"/>
                <w:color w:val="464445"/>
                <w:spacing w:val="0"/>
                <w:sz w:val="18"/>
                <w:szCs w:val="18"/>
                <w:bdr w:val="none" w:color="auto" w:sz="0" w:space="0"/>
                <w:shd w:val="clear" w:fill="FFFFFF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aps w:val="0"/>
                <w:color w:val="464445"/>
                <w:spacing w:val="0"/>
                <w:sz w:val="18"/>
                <w:szCs w:val="18"/>
                <w:bdr w:val="none" w:color="auto" w:sz="0" w:space="0"/>
                <w:shd w:val="clear" w:fill="FFFFFF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aps w:val="0"/>
                <w:color w:val="464445"/>
                <w:spacing w:val="0"/>
                <w:sz w:val="18"/>
                <w:szCs w:val="18"/>
                <w:bdr w:val="none" w:color="auto" w:sz="0" w:space="0"/>
                <w:shd w:val="clear" w:fill="FFFFFF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aps w:val="0"/>
                <w:color w:val="464445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未取得取水申请批准文件擅自建设取水工程或者设施的</w:t>
            </w:r>
            <w:bookmarkStart w:id="0" w:name="_GoBack"/>
            <w:bookmarkEnd w:id="0"/>
          </w:p>
        </w:tc>
        <w:tc>
          <w:tcPr>
            <w:tcW w:w="3369" w:type="dxa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420"/>
              </w:tabs>
              <w:spacing w:line="240" w:lineRule="auto"/>
              <w:jc w:val="both"/>
              <w:rPr>
                <w:rFonts w:hint="eastAsia" w:ascii="仿宋" w:hAnsi="仿宋" w:eastAsia="宋体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《吉林省河道管理条例》《取水许可和水资源费征收管理条例》《行政强制法》</w:t>
            </w:r>
          </w:p>
        </w:tc>
        <w:tc>
          <w:tcPr>
            <w:tcW w:w="1209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法规科</w:t>
            </w:r>
          </w:p>
        </w:tc>
        <w:tc>
          <w:tcPr>
            <w:tcW w:w="2271" w:type="dxa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425"/>
              </w:tabs>
              <w:spacing w:line="24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    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 ；2.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557" w:type="dxa"/>
            <w:vAlign w:val="top"/>
          </w:tcPr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480" w:lineRule="exact"/>
        <w:jc w:val="left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填表人：杨涛               联系电话：15834409997                             填表日期：2020.6.2</w:t>
      </w:r>
    </w:p>
    <w:p/>
    <w:sectPr>
      <w:pgSz w:w="16838" w:h="11906" w:orient="landscape"/>
      <w:pgMar w:top="1803" w:right="1497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15"/>
    <w:rsid w:val="00215615"/>
    <w:rsid w:val="78C8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lemmatitleh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2020-06-02T07:58:00Z</dcterms:created>
  <dc:creator>Administrator</dc:creator>
  <cp:lastModifiedBy>Administrator</cp:lastModifiedBy>
  <dcterms:modified xsi:type="dcterms:W3CDTF">2020-06-03T00:12:42Z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