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柳条乡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人民政府重大执法决定法制审核清单</w:t>
      </w:r>
    </w:p>
    <w:p>
      <w:pPr>
        <w:spacing w:line="520" w:lineRule="exact"/>
        <w:jc w:val="left"/>
        <w:rPr>
          <w:rFonts w:ascii="方正小标宋简体" w:hAnsi="方正小标宋简体" w:eastAsia="方正小标宋简体" w:cs="方正小标宋简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填报单位：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柳条乡人民政府</w:t>
      </w:r>
      <w:r>
        <w:rPr>
          <w:rFonts w:ascii="仿宋_GB2312" w:hAnsi="仿宋_GB2312" w:eastAsia="仿宋_GB2312" w:cs="仿宋_GB2312"/>
          <w:sz w:val="24"/>
        </w:rPr>
        <w:t xml:space="preserve">                                                                    </w:t>
      </w:r>
      <w:bookmarkStart w:id="0" w:name="_GoBack"/>
      <w:bookmarkEnd w:id="0"/>
      <w:r>
        <w:rPr>
          <w:rFonts w:ascii="仿宋_GB2312" w:hAnsi="仿宋_GB2312" w:eastAsia="仿宋_GB2312" w:cs="仿宋_GB2312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主要领导签字：</w:t>
      </w:r>
    </w:p>
    <w:tbl>
      <w:tblPr>
        <w:tblStyle w:val="6"/>
        <w:tblpPr w:leftFromText="181" w:rightFromText="181" w:vertAnchor="text" w:horzAnchor="page" w:tblpXSpec="center" w:tblpY="24"/>
        <w:tblOverlap w:val="never"/>
        <w:tblW w:w="14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250"/>
        <w:gridCol w:w="1900"/>
        <w:gridCol w:w="3369"/>
        <w:gridCol w:w="1209"/>
        <w:gridCol w:w="2271"/>
        <w:gridCol w:w="2557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0" w:hRule="atLeast"/>
          <w:jc w:val="center"/>
        </w:trPr>
        <w:tc>
          <w:tcPr>
            <w:tcW w:w="76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12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执法类别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具体执法决定项目</w:t>
            </w:r>
          </w:p>
        </w:tc>
        <w:tc>
          <w:tcPr>
            <w:tcW w:w="336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执法依据</w:t>
            </w:r>
          </w:p>
        </w:tc>
        <w:tc>
          <w:tcPr>
            <w:tcW w:w="12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承办机构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pacing w:line="240" w:lineRule="atLeast"/>
              <w:ind w:firstLine="210" w:firstLineChars="10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应提交的审核材料</w:t>
            </w:r>
          </w:p>
        </w:tc>
        <w:tc>
          <w:tcPr>
            <w:tcW w:w="25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审核重点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</w:t>
            </w:r>
          </w:p>
        </w:tc>
        <w:tc>
          <w:tcPr>
            <w:tcW w:w="1250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行政处罚</w:t>
            </w:r>
          </w:p>
        </w:tc>
        <w:tc>
          <w:tcPr>
            <w:tcW w:w="1900" w:type="dxa"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180" w:lineRule="atLeast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情节复杂的案件，包括</w:t>
            </w: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认定事实和证据有分歧的；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适用的法律法规难以确定的；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其他认为属于情节复杂的。</w:t>
            </w:r>
          </w:p>
          <w:p>
            <w:pPr>
              <w:numPr>
                <w:ilvl w:val="0"/>
                <w:numId w:val="1"/>
              </w:numPr>
              <w:snapToGrid w:val="0"/>
              <w:spacing w:line="180" w:lineRule="atLeast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重大违法行为的案件：</w:t>
            </w: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违法行为性质较重或者危害较大的；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违法行为主体具有涉外因素的；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其他认为属于重大违法行为的。</w:t>
            </w:r>
            <w:r>
              <w:rPr>
                <w:rFonts w:ascii="华文仿宋" w:hAnsi="华文仿宋" w:eastAsia="华文仿宋" w:cs="华文仿宋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napToGrid w:val="0"/>
              <w:spacing w:line="180" w:lineRule="atLeast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较重的行政处罚：</w:t>
            </w: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责令停产停业；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吊销许可证或者执照；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对公民处以二千元以上罚款，对法人或者其他组织处以一万元以上罚款。</w:t>
            </w:r>
          </w:p>
          <w:p>
            <w:pPr>
              <w:widowControl w:val="0"/>
              <w:numPr>
                <w:numId w:val="0"/>
              </w:numPr>
              <w:snapToGrid w:val="0"/>
              <w:spacing w:line="180" w:lineRule="atLeast"/>
              <w:jc w:val="both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widowControl w:val="0"/>
              <w:numPr>
                <w:numId w:val="0"/>
              </w:numPr>
              <w:snapToGrid w:val="0"/>
              <w:spacing w:line="180" w:lineRule="atLeast"/>
              <w:jc w:val="both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napToGrid w:val="0"/>
              <w:spacing w:before="0" w:beforeAutospacing="0" w:after="0" w:afterAutospacing="0" w:line="180" w:lineRule="atLeast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1"/>
                <w:szCs w:val="21"/>
              </w:rPr>
              <w:t>《兽药管理条例》《饲料和饲料添加剂管理条例》《中华人民共和国种子法》《森林防火条例》《非药品类易制毒化学品生产经营许可办法》《危险化学品安全管理条例》《烟花爆竹经营许可实施办法》《易制毒化学品管理条例》《安全生产法》《中华人民共和国安全生产法》《吉林省农村水利管理条例》《中华人民共和国水法》</w:t>
            </w:r>
          </w:p>
        </w:tc>
        <w:tc>
          <w:tcPr>
            <w:tcW w:w="1209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司法所</w:t>
            </w:r>
          </w:p>
        </w:tc>
        <w:tc>
          <w:tcPr>
            <w:tcW w:w="2271" w:type="dxa"/>
            <w:vAlign w:val="center"/>
          </w:tcPr>
          <w:p>
            <w:pPr>
              <w:snapToGrid w:val="0"/>
              <w:spacing w:line="180" w:lineRule="atLeast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拟作出重大行政执法决定的调查终结报告；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拟作出重大行政执法决定建议或者意见及其情况说明；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拟作出重大行政执法决定书代拟稿；</w:t>
            </w:r>
            <w:r>
              <w:rPr>
                <w:rFonts w:ascii="华文仿宋" w:hAnsi="华文仿宋" w:eastAsia="华文仿宋" w:cs="华文仿宋"/>
                <w:szCs w:val="21"/>
              </w:rPr>
              <w:t>4.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拟作出重大行政执法决定的相关证据和法律依据；</w:t>
            </w:r>
            <w:r>
              <w:rPr>
                <w:rFonts w:ascii="华文仿宋" w:hAnsi="华文仿宋" w:eastAsia="华文仿宋" w:cs="华文仿宋"/>
                <w:szCs w:val="21"/>
              </w:rPr>
              <w:t>5.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经听证或者评估的，还应当提交听证笔录或者评估报告；</w:t>
            </w:r>
            <w:r>
              <w:rPr>
                <w:rFonts w:ascii="华文仿宋" w:hAnsi="华文仿宋" w:eastAsia="华文仿宋" w:cs="华文仿宋"/>
                <w:szCs w:val="21"/>
              </w:rPr>
              <w:t>6.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其他需要提交的材料。</w:t>
            </w:r>
          </w:p>
        </w:tc>
        <w:tc>
          <w:tcPr>
            <w:tcW w:w="2557" w:type="dxa"/>
            <w:vAlign w:val="center"/>
          </w:tcPr>
          <w:p>
            <w:pPr>
              <w:snapToGrid w:val="0"/>
              <w:spacing w:line="180" w:lineRule="atLeast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是否属于本机关的职权范围，是否有超越本机关职权范围或滥用职权的情形；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事实是否清楚，证据是否确凿；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适用法律依据是否正确；</w:t>
            </w:r>
            <w:r>
              <w:rPr>
                <w:rFonts w:ascii="华文仿宋" w:hAnsi="华文仿宋" w:eastAsia="华文仿宋" w:cs="华文仿宋"/>
                <w:szCs w:val="21"/>
              </w:rPr>
              <w:t>4.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是否符合法定程序；</w:t>
            </w:r>
            <w:r>
              <w:rPr>
                <w:rFonts w:ascii="华文仿宋" w:hAnsi="华文仿宋" w:eastAsia="华文仿宋" w:cs="华文仿宋"/>
                <w:szCs w:val="21"/>
              </w:rPr>
              <w:t>5.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内容是否适当</w:t>
            </w:r>
            <w:r>
              <w:rPr>
                <w:rFonts w:ascii="华文仿宋" w:hAnsi="华文仿宋" w:eastAsia="华文仿宋" w:cs="华文仿宋"/>
                <w:szCs w:val="21"/>
              </w:rPr>
              <w:t>6.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行政执法文书的制作是否规范、齐备；</w:t>
            </w:r>
            <w:r>
              <w:rPr>
                <w:rFonts w:ascii="华文仿宋" w:hAnsi="华文仿宋" w:eastAsia="华文仿宋" w:cs="华文仿宋"/>
                <w:szCs w:val="21"/>
              </w:rPr>
              <w:t>7.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违法行为是否涉嫌犯罪需要移送司法机关；</w:t>
            </w:r>
            <w:r>
              <w:rPr>
                <w:rFonts w:ascii="华文仿宋" w:hAnsi="华文仿宋" w:eastAsia="华文仿宋" w:cs="华文仿宋"/>
                <w:szCs w:val="21"/>
              </w:rPr>
              <w:t>8.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其他应当审核的内容。</w:t>
            </w:r>
            <w:r>
              <w:rPr>
                <w:rFonts w:ascii="华文仿宋" w:hAnsi="华文仿宋" w:eastAsia="华文仿宋" w:cs="华文仿宋"/>
                <w:szCs w:val="21"/>
              </w:rPr>
              <w:t xml:space="preserve"> </w:t>
            </w:r>
          </w:p>
          <w:p>
            <w:pPr>
              <w:snapToGrid w:val="0"/>
              <w:spacing w:line="180" w:lineRule="atLeast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711" w:type="dxa"/>
          </w:tcPr>
          <w:p>
            <w:pPr>
              <w:snapToGrid w:val="0"/>
              <w:spacing w:line="18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6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华文仿宋" w:hAnsi="华文仿宋" w:eastAsia="华文仿宋" w:cs="华文仿宋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lang w:val="en-US" w:eastAsia="zh-CN"/>
              </w:rPr>
              <w:t>2</w:t>
            </w:r>
          </w:p>
        </w:tc>
        <w:tc>
          <w:tcPr>
            <w:tcW w:w="12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行政许可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pacing w:line="240" w:lineRule="atLeast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不予行政许可、撤销行政许可或依法应组织听证的行政许可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adjustRightInd w:val="0"/>
              <w:spacing w:before="0" w:beforeAutospacing="0" w:after="0" w:afterAutospacing="0" w:line="240" w:lineRule="atLeast"/>
              <w:rPr>
                <w:rFonts w:ascii="华文仿宋" w:hAnsi="华文仿宋" w:eastAsia="华文仿宋" w:cs="华文仿宋"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kern w:val="2"/>
                <w:sz w:val="21"/>
                <w:szCs w:val="21"/>
              </w:rPr>
              <w:t>《国务院对确需保留的行政审批项目设定行政许可的决定》《国务院关于取消和下放一批行政审批项目的决定》《农业农村部自然资源部关于规范农村宅基地审批管理的通知》</w:t>
            </w:r>
          </w:p>
        </w:tc>
        <w:tc>
          <w:tcPr>
            <w:tcW w:w="12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司法所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pacing w:line="240" w:lineRule="atLeast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拟作出重大行政执法决定的调查终结报告；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拟作出重大行政执法决定建议或者意见及其情况说明；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拟作出重大行政执法决定书代拟稿；</w:t>
            </w:r>
            <w:r>
              <w:rPr>
                <w:rFonts w:ascii="华文仿宋" w:hAnsi="华文仿宋" w:eastAsia="华文仿宋" w:cs="华文仿宋"/>
                <w:szCs w:val="21"/>
              </w:rPr>
              <w:t>4.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拟作出重大行政执法决定的相关证据和法律依据；</w:t>
            </w:r>
            <w:r>
              <w:rPr>
                <w:rFonts w:ascii="华文仿宋" w:hAnsi="华文仿宋" w:eastAsia="华文仿宋" w:cs="华文仿宋"/>
                <w:szCs w:val="21"/>
              </w:rPr>
              <w:t>5.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经听证或者评估的，还应当提交听证笔录或者评估报告；</w:t>
            </w:r>
            <w:r>
              <w:rPr>
                <w:rFonts w:ascii="华文仿宋" w:hAnsi="华文仿宋" w:eastAsia="华文仿宋" w:cs="华文仿宋"/>
                <w:szCs w:val="21"/>
              </w:rPr>
              <w:t>6.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其他需要提交的材料。</w:t>
            </w:r>
          </w:p>
        </w:tc>
        <w:tc>
          <w:tcPr>
            <w:tcW w:w="2557" w:type="dxa"/>
            <w:vAlign w:val="center"/>
          </w:tcPr>
          <w:p>
            <w:pPr>
              <w:adjustRightInd w:val="0"/>
              <w:spacing w:line="240" w:lineRule="atLeast"/>
              <w:ind w:firstLine="420" w:firstLineChars="200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是否属于本机关的职权范围，是否有超越本机关职权范围或滥用职权的情形；</w:t>
            </w:r>
            <w:r>
              <w:rPr>
                <w:rFonts w:ascii="华文仿宋" w:hAnsi="华文仿宋" w:eastAsia="华文仿宋" w:cs="华文仿宋"/>
                <w:szCs w:val="21"/>
              </w:rPr>
              <w:t>2.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事实是否清楚，证据是否确凿；</w:t>
            </w:r>
            <w:r>
              <w:rPr>
                <w:rFonts w:ascii="华文仿宋" w:hAnsi="华文仿宋" w:eastAsia="华文仿宋" w:cs="华文仿宋"/>
                <w:szCs w:val="21"/>
              </w:rPr>
              <w:t>3.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适用法律依据是否正确；</w:t>
            </w:r>
            <w:r>
              <w:rPr>
                <w:rFonts w:ascii="华文仿宋" w:hAnsi="华文仿宋" w:eastAsia="华文仿宋" w:cs="华文仿宋"/>
                <w:szCs w:val="21"/>
              </w:rPr>
              <w:t>4.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是否符合法定程序；</w:t>
            </w:r>
            <w:r>
              <w:rPr>
                <w:rFonts w:ascii="华文仿宋" w:hAnsi="华文仿宋" w:eastAsia="华文仿宋" w:cs="华文仿宋"/>
                <w:szCs w:val="21"/>
              </w:rPr>
              <w:t>5.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内容是否适当</w:t>
            </w:r>
            <w:r>
              <w:rPr>
                <w:rFonts w:ascii="华文仿宋" w:hAnsi="华文仿宋" w:eastAsia="华文仿宋" w:cs="华文仿宋"/>
                <w:szCs w:val="21"/>
              </w:rPr>
              <w:t>6.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行政执法文书的制作是否规范、齐备；</w:t>
            </w:r>
            <w:r>
              <w:rPr>
                <w:rFonts w:ascii="华文仿宋" w:hAnsi="华文仿宋" w:eastAsia="华文仿宋" w:cs="华文仿宋"/>
                <w:szCs w:val="21"/>
              </w:rPr>
              <w:t>7.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违法行为是否涉嫌犯罪需要移送司法机关；</w:t>
            </w:r>
            <w:r>
              <w:rPr>
                <w:rFonts w:ascii="华文仿宋" w:hAnsi="华文仿宋" w:eastAsia="华文仿宋" w:cs="华文仿宋"/>
                <w:szCs w:val="21"/>
              </w:rPr>
              <w:t>8.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其他应当审核的内容。</w:t>
            </w:r>
            <w:r>
              <w:rPr>
                <w:rFonts w:ascii="华文仿宋" w:hAnsi="华文仿宋" w:eastAsia="华文仿宋" w:cs="华文仿宋"/>
                <w:szCs w:val="21"/>
              </w:rPr>
              <w:t xml:space="preserve"> </w:t>
            </w:r>
          </w:p>
          <w:p>
            <w:pPr>
              <w:adjustRightInd w:val="0"/>
              <w:spacing w:line="240" w:lineRule="atLeast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711" w:type="dxa"/>
          </w:tcPr>
          <w:p>
            <w:pPr>
              <w:adjustRightInd w:val="0"/>
              <w:spacing w:line="240" w:lineRule="atLeast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</w:tbl>
    <w:p>
      <w:pPr>
        <w:spacing w:line="240" w:lineRule="atLeast"/>
        <w:jc w:val="left"/>
        <w:rPr>
          <w:rFonts w:hint="eastAsia" w:ascii="仿宋" w:hAnsi="仿宋" w:eastAsia="仿宋" w:cs="仿宋"/>
          <w:szCs w:val="21"/>
        </w:rPr>
      </w:pPr>
    </w:p>
    <w:p>
      <w:pPr>
        <w:spacing w:line="240" w:lineRule="atLeast"/>
        <w:ind w:firstLine="840" w:firstLineChars="400"/>
        <w:jc w:val="left"/>
      </w:pPr>
      <w:r>
        <w:rPr>
          <w:rFonts w:hint="eastAsia" w:ascii="仿宋" w:hAnsi="仿宋" w:eastAsia="仿宋" w:cs="仿宋"/>
          <w:szCs w:val="21"/>
        </w:rPr>
        <w:t>填表人：</w:t>
      </w:r>
      <w:r>
        <w:rPr>
          <w:rFonts w:ascii="仿宋" w:hAnsi="仿宋" w:eastAsia="仿宋" w:cs="仿宋"/>
          <w:szCs w:val="21"/>
        </w:rPr>
        <w:t xml:space="preserve">                                 </w:t>
      </w:r>
      <w:r>
        <w:rPr>
          <w:rFonts w:hint="eastAsia" w:ascii="仿宋" w:hAnsi="仿宋" w:eastAsia="仿宋" w:cs="仿宋"/>
          <w:szCs w:val="21"/>
        </w:rPr>
        <w:t>联系电话：</w:t>
      </w:r>
      <w:r>
        <w:rPr>
          <w:rFonts w:ascii="仿宋" w:hAnsi="仿宋" w:eastAsia="仿宋" w:cs="仿宋"/>
          <w:szCs w:val="21"/>
        </w:rPr>
        <w:t xml:space="preserve">                                       </w:t>
      </w:r>
      <w:r>
        <w:rPr>
          <w:rFonts w:hint="eastAsia" w:ascii="仿宋" w:hAnsi="仿宋" w:eastAsia="仿宋" w:cs="仿宋"/>
          <w:szCs w:val="21"/>
        </w:rPr>
        <w:t>填表日期：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3" w:right="1440" w:bottom="896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C3749"/>
    <w:multiLevelType w:val="singleLevel"/>
    <w:tmpl w:val="07BC374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5YTA0ZmMxMWJkYjY1Njk1ZmM3YjU3ZGJkNWY1OGMifQ=="/>
  </w:docVars>
  <w:rsids>
    <w:rsidRoot w:val="44DB2C5E"/>
    <w:rsid w:val="002312BB"/>
    <w:rsid w:val="004A59F8"/>
    <w:rsid w:val="005B5968"/>
    <w:rsid w:val="00671310"/>
    <w:rsid w:val="007D4CA2"/>
    <w:rsid w:val="00856E61"/>
    <w:rsid w:val="009C1B2F"/>
    <w:rsid w:val="00A547BF"/>
    <w:rsid w:val="00BB3E48"/>
    <w:rsid w:val="00D8671E"/>
    <w:rsid w:val="00E4544F"/>
    <w:rsid w:val="028305B2"/>
    <w:rsid w:val="05804C66"/>
    <w:rsid w:val="07936962"/>
    <w:rsid w:val="07B15170"/>
    <w:rsid w:val="0AD01672"/>
    <w:rsid w:val="0B7C2B94"/>
    <w:rsid w:val="1099681D"/>
    <w:rsid w:val="111B1EAF"/>
    <w:rsid w:val="11AC5D7A"/>
    <w:rsid w:val="129E31BE"/>
    <w:rsid w:val="149C122D"/>
    <w:rsid w:val="16D52F19"/>
    <w:rsid w:val="171601A2"/>
    <w:rsid w:val="1AC77C9D"/>
    <w:rsid w:val="1B161CC8"/>
    <w:rsid w:val="1C725B63"/>
    <w:rsid w:val="20BE2EA1"/>
    <w:rsid w:val="230961F8"/>
    <w:rsid w:val="235A09B9"/>
    <w:rsid w:val="242B3831"/>
    <w:rsid w:val="249B0E74"/>
    <w:rsid w:val="24DC02E5"/>
    <w:rsid w:val="25FE70E3"/>
    <w:rsid w:val="29DE3363"/>
    <w:rsid w:val="2A7869AF"/>
    <w:rsid w:val="2A7E2975"/>
    <w:rsid w:val="2F3C4CFF"/>
    <w:rsid w:val="30290B68"/>
    <w:rsid w:val="32A6358C"/>
    <w:rsid w:val="32EA11C3"/>
    <w:rsid w:val="336D115E"/>
    <w:rsid w:val="34071A7B"/>
    <w:rsid w:val="35640B8C"/>
    <w:rsid w:val="36C64EEC"/>
    <w:rsid w:val="38221F30"/>
    <w:rsid w:val="39865EC9"/>
    <w:rsid w:val="3A2B592A"/>
    <w:rsid w:val="3AD94D90"/>
    <w:rsid w:val="3B2D42F2"/>
    <w:rsid w:val="3B746BBE"/>
    <w:rsid w:val="3CBD2355"/>
    <w:rsid w:val="3E0B1F51"/>
    <w:rsid w:val="3EE97F72"/>
    <w:rsid w:val="43AE3B65"/>
    <w:rsid w:val="44784B34"/>
    <w:rsid w:val="44DB2C5E"/>
    <w:rsid w:val="468E45AB"/>
    <w:rsid w:val="48716E5A"/>
    <w:rsid w:val="4D1C4E2E"/>
    <w:rsid w:val="50F76EB5"/>
    <w:rsid w:val="53DC2107"/>
    <w:rsid w:val="55FA1EDB"/>
    <w:rsid w:val="56EF4E49"/>
    <w:rsid w:val="58515F24"/>
    <w:rsid w:val="59510010"/>
    <w:rsid w:val="5D762C51"/>
    <w:rsid w:val="5D9503D7"/>
    <w:rsid w:val="603F52AA"/>
    <w:rsid w:val="6574508E"/>
    <w:rsid w:val="6A306605"/>
    <w:rsid w:val="6B02252D"/>
    <w:rsid w:val="6EDE30FD"/>
    <w:rsid w:val="6F5E1AE9"/>
    <w:rsid w:val="74051691"/>
    <w:rsid w:val="7A79386E"/>
    <w:rsid w:val="7BCB7956"/>
    <w:rsid w:val="7DDB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cs="宋体"/>
      <w:kern w:val="0"/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Emphasis"/>
    <w:basedOn w:val="8"/>
    <w:qFormat/>
    <w:uiPriority w:val="99"/>
    <w:rPr>
      <w:rFonts w:cs="Times New Roman"/>
      <w:i/>
    </w:rPr>
  </w:style>
  <w:style w:type="character" w:customStyle="1" w:styleId="11">
    <w:name w:val="Heading 1 Char"/>
    <w:basedOn w:val="8"/>
    <w:link w:val="2"/>
    <w:uiPriority w:val="9"/>
    <w:rPr>
      <w:rFonts w:ascii="Calibri" w:hAnsi="Calibri" w:cs="黑体"/>
      <w:b/>
      <w:bCs/>
      <w:kern w:val="44"/>
      <w:sz w:val="44"/>
      <w:szCs w:val="44"/>
    </w:rPr>
  </w:style>
  <w:style w:type="character" w:customStyle="1" w:styleId="12">
    <w:name w:val="Footer Char"/>
    <w:basedOn w:val="8"/>
    <w:link w:val="3"/>
    <w:qFormat/>
    <w:locked/>
    <w:uiPriority w:val="99"/>
    <w:rPr>
      <w:rFonts w:ascii="Calibri" w:hAnsi="Calibri" w:cs="黑体"/>
      <w:kern w:val="2"/>
      <w:sz w:val="18"/>
      <w:szCs w:val="18"/>
    </w:rPr>
  </w:style>
  <w:style w:type="character" w:customStyle="1" w:styleId="13">
    <w:name w:val="Header Char"/>
    <w:basedOn w:val="8"/>
    <w:link w:val="4"/>
    <w:qFormat/>
    <w:locked/>
    <w:uiPriority w:val="99"/>
    <w:rPr>
      <w:rFonts w:ascii="Calibri" w:hAnsi="Calibri" w:cs="黑体"/>
      <w:kern w:val="2"/>
      <w:sz w:val="18"/>
      <w:szCs w:val="18"/>
    </w:rPr>
  </w:style>
  <w:style w:type="character" w:customStyle="1" w:styleId="14">
    <w:name w:val="lemmatitleh1"/>
    <w:basedOn w:val="8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1786</Words>
  <Characters>1852</Characters>
  <Lines>0</Lines>
  <Paragraphs>0</Paragraphs>
  <TotalTime>3</TotalTime>
  <ScaleCrop>false</ScaleCrop>
  <LinksUpToDate>false</LinksUpToDate>
  <CharactersWithSpaces>2012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李小姐</cp:lastModifiedBy>
  <cp:lastPrinted>2022-06-01T05:43:00Z</cp:lastPrinted>
  <dcterms:modified xsi:type="dcterms:W3CDTF">2022-06-08T04:18:01Z</dcterms:modified>
  <dc:title>四平市文化广播电视和旅游局重大执法决定法制审核清单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A4C35F12E59544DF87D336520F2E86BB</vt:lpwstr>
  </property>
</Properties>
</file>