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63" w:rsidRDefault="007A0C63" w:rsidP="007A0C63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36"/>
          <w:szCs w:val="36"/>
        </w:rPr>
        <w:t>行政处罚决定书</w:t>
      </w:r>
    </w:p>
    <w:p w:rsidR="007A0C63" w:rsidRPr="00C12153" w:rsidRDefault="007A0C63" w:rsidP="00C12153">
      <w:pPr>
        <w:adjustRightInd w:val="0"/>
        <w:snapToGrid w:val="0"/>
        <w:ind w:firstLineChars="1800" w:firstLine="4320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（吉四双）文</w:t>
      </w:r>
      <w:r>
        <w:rPr>
          <w:rFonts w:ascii="仿宋_GB2312" w:eastAsia="仿宋_GB2312" w:hAnsi="仿宋_GB2312" w:hint="eastAsia"/>
          <w:bCs/>
          <w:kern w:val="0"/>
          <w:sz w:val="24"/>
        </w:rPr>
        <w:t>综</w:t>
      </w:r>
      <w:r>
        <w:rPr>
          <w:rFonts w:ascii="仿宋_GB2312" w:eastAsia="仿宋_GB2312" w:hAnsi="仿宋_GB2312" w:hint="eastAsia"/>
          <w:sz w:val="24"/>
        </w:rPr>
        <w:t>罚字〔2021〕 0</w:t>
      </w:r>
      <w:r w:rsidR="00C12153">
        <w:rPr>
          <w:rFonts w:ascii="仿宋_GB2312" w:eastAsia="仿宋_GB2312" w:hAnsi="仿宋_GB2312" w:hint="eastAsia"/>
          <w:sz w:val="24"/>
        </w:rPr>
        <w:t>5</w:t>
      </w:r>
      <w:r>
        <w:rPr>
          <w:rFonts w:ascii="仿宋_GB2312" w:eastAsia="仿宋_GB2312" w:hAnsi="仿宋_GB2312" w:hint="eastAsia"/>
          <w:sz w:val="24"/>
        </w:rPr>
        <w:t>号</w:t>
      </w:r>
    </w:p>
    <w:p w:rsidR="00C12153" w:rsidRDefault="00C12153" w:rsidP="00C1215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当事人：</w:t>
      </w:r>
      <w:r>
        <w:rPr>
          <w:rFonts w:ascii="仿宋_GB2312" w:eastAsia="仿宋_GB2312" w:hAnsi="宋体" w:hint="eastAsia"/>
          <w:sz w:val="24"/>
        </w:rPr>
        <w:t>双辽市斯睿网咖店</w:t>
      </w:r>
    </w:p>
    <w:p w:rsidR="00C12153" w:rsidRDefault="00C12153" w:rsidP="00C1215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证照（证件）名称及编号（号码）：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营业执照</w:t>
      </w:r>
      <w:r w:rsidR="00887A40">
        <w:rPr>
          <w:rFonts w:ascii="仿宋_GB2312" w:eastAsia="仿宋_GB2312" w:hAnsi="仿宋_GB2312" w:cs="仿宋_GB2312" w:hint="eastAsia"/>
          <w:bCs/>
          <w:kern w:val="0"/>
          <w:sz w:val="24"/>
        </w:rPr>
        <w:t>（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91220382MA155DKJ9N）</w:t>
      </w:r>
    </w:p>
    <w:p w:rsidR="00C12153" w:rsidRPr="00C12153" w:rsidRDefault="00C12153" w:rsidP="00C12153">
      <w:pPr>
        <w:widowControl/>
        <w:shd w:val="clear" w:color="auto" w:fill="FFFFFF"/>
        <w:spacing w:line="48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住所（住址等）：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双辽市辽北街东春委2组迎春商厦小区</w:t>
      </w:r>
    </w:p>
    <w:p w:rsidR="00C12153" w:rsidRPr="00052915" w:rsidRDefault="00C12153" w:rsidP="00052915">
      <w:pPr>
        <w:widowControl/>
        <w:shd w:val="clear" w:color="auto" w:fill="FFFFFF"/>
        <w:spacing w:line="480" w:lineRule="atLeast"/>
        <w:ind w:firstLineChars="250" w:firstLine="600"/>
        <w:rPr>
          <w:rFonts w:ascii="仿宋_GB2312" w:eastAsia="仿宋_GB2312" w:hAnsi="仿宋_GB2312" w:cs="仿宋_GB2312"/>
          <w:sz w:val="24"/>
        </w:rPr>
      </w:pPr>
      <w:r w:rsidRPr="008C494C">
        <w:rPr>
          <w:rFonts w:ascii="仿宋_GB2312" w:eastAsia="仿宋_GB2312" w:hAnsi="仿宋_GB2312" w:cs="仿宋_GB2312" w:hint="eastAsia"/>
          <w:sz w:val="24"/>
        </w:rPr>
        <w:t>2021年06月11日14时27分至 2021年06月11日14时36</w:t>
      </w:r>
      <w:r w:rsidR="00DB2618">
        <w:rPr>
          <w:rFonts w:ascii="仿宋_GB2312" w:eastAsia="仿宋_GB2312" w:hAnsi="仿宋_GB2312" w:cs="仿宋_GB2312" w:hint="eastAsia"/>
          <w:sz w:val="24"/>
        </w:rPr>
        <w:t>分，经双辽市辽北街派出所移交斯睿网咖店</w:t>
      </w:r>
      <w:r w:rsidRPr="008C494C">
        <w:rPr>
          <w:rFonts w:ascii="仿宋_GB2312" w:eastAsia="仿宋_GB2312" w:hAnsi="仿宋_GB2312" w:cs="仿宋_GB2312" w:hint="eastAsia"/>
          <w:sz w:val="24"/>
        </w:rPr>
        <w:t>接纳未成年人进入互联网上网服务营业场所一案，双辽市文化广播电视和旅游局行政执法人员刘建新（220384499）、刘丽娜（220384743）对双辽市</w:t>
      </w:r>
      <w:r w:rsidR="00906C0F">
        <w:rPr>
          <w:rFonts w:ascii="仿宋_GB2312" w:eastAsia="仿宋_GB2312" w:hAnsi="仿宋_GB2312" w:cs="仿宋_GB2312" w:hint="eastAsia"/>
          <w:sz w:val="24"/>
        </w:rPr>
        <w:t>斯睿</w:t>
      </w:r>
      <w:r w:rsidR="006679DC">
        <w:rPr>
          <w:rFonts w:ascii="仿宋_GB2312" w:eastAsia="仿宋_GB2312" w:hAnsi="仿宋_GB2312" w:cs="仿宋_GB2312" w:hint="eastAsia"/>
          <w:sz w:val="24"/>
        </w:rPr>
        <w:t>网咖店</w:t>
      </w:r>
      <w:r w:rsidRPr="008C494C">
        <w:rPr>
          <w:rFonts w:ascii="仿宋_GB2312" w:eastAsia="仿宋_GB2312" w:hAnsi="仿宋_GB2312" w:cs="仿宋_GB2312" w:hint="eastAsia"/>
          <w:sz w:val="24"/>
        </w:rPr>
        <w:t>接纳未成年人一案进行接收，并对接收现场拍照，将未成年人张x从双辽市</w:t>
      </w:r>
      <w:r>
        <w:rPr>
          <w:rFonts w:ascii="仿宋_GB2312" w:eastAsia="仿宋_GB2312" w:hAnsi="仿宋_GB2312" w:cs="仿宋_GB2312" w:hint="eastAsia"/>
          <w:sz w:val="24"/>
        </w:rPr>
        <w:t>辽北街派出所</w:t>
      </w:r>
      <w:r w:rsidRPr="008C494C">
        <w:rPr>
          <w:rFonts w:ascii="仿宋_GB2312" w:eastAsia="仿宋_GB2312" w:hAnsi="仿宋_GB2312" w:cs="仿宋_GB2312" w:hint="eastAsia"/>
          <w:sz w:val="24"/>
        </w:rPr>
        <w:t>带回双辽市文化市场综合行政执法大队进行调查询问，并对双辽市斯睿网咖店负责人金浩楠下达调查询问通知书，携带相关材料到双辽市文化市场综合行政执法大队接受调查询问。</w:t>
      </w:r>
      <w:r w:rsidR="00052915">
        <w:rPr>
          <w:rFonts w:ascii="仿宋_GB2312" w:eastAsia="仿宋_GB2312" w:hAnsi="仿宋_GB2312" w:cs="仿宋_GB2312" w:hint="eastAsia"/>
          <w:bCs/>
          <w:kern w:val="0"/>
          <w:sz w:val="24"/>
        </w:rPr>
        <w:t>通过调查询问，</w:t>
      </w:r>
      <w:r w:rsidR="00052915">
        <w:rPr>
          <w:rFonts w:ascii="仿宋_GB2312" w:eastAsia="仿宋_GB2312" w:hAnsi="仿宋_GB2312" w:cs="仿宋_GB2312" w:hint="eastAsia"/>
          <w:sz w:val="24"/>
        </w:rPr>
        <w:t>斯睿网咖对接纳未成年人进入互联网上网服务营业场所的行为，未成年人张x、斯睿网咖负责人金浩楠对制作的《视听资料取证文书》、《调查询问笔录》予以了确认。</w:t>
      </w:r>
    </w:p>
    <w:p w:rsidR="00C12153" w:rsidRPr="008C494C" w:rsidRDefault="00C12153" w:rsidP="00C12153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 w:rsidRPr="008C494C">
        <w:rPr>
          <w:rFonts w:ascii="仿宋_GB2312" w:eastAsia="仿宋_GB2312" w:hAnsi="仿宋_GB2312" w:cs="仿宋_GB2312" w:hint="eastAsia"/>
          <w:sz w:val="24"/>
        </w:rPr>
        <w:t>以上事实有以下证据予以证明：1、双辽市辽北街派出所案件移送书。2、案件移交视听资料。3、对进入互联网上网服务营业场所的未成年人及斯睿网咖</w:t>
      </w:r>
      <w:r w:rsidR="006679DC">
        <w:rPr>
          <w:rFonts w:ascii="仿宋_GB2312" w:eastAsia="仿宋_GB2312" w:hAnsi="仿宋_GB2312" w:cs="仿宋_GB2312" w:hint="eastAsia"/>
          <w:sz w:val="24"/>
        </w:rPr>
        <w:t>店</w:t>
      </w:r>
      <w:r w:rsidRPr="008C494C">
        <w:rPr>
          <w:rFonts w:ascii="仿宋_GB2312" w:eastAsia="仿宋_GB2312" w:hAnsi="仿宋_GB2312" w:cs="仿宋_GB2312" w:hint="eastAsia"/>
          <w:sz w:val="24"/>
        </w:rPr>
        <w:t>负责人金浩楠作的《调查询问笔录》各1份。4、吴光仡委托金浩楠处理案件委托书1份。5、视听取证资料4份。</w:t>
      </w:r>
      <w:r w:rsidR="000B6670">
        <w:rPr>
          <w:rFonts w:ascii="仿宋_GB2312" w:eastAsia="仿宋_GB2312" w:hAnsi="仿宋_GB2312" w:cs="仿宋_GB2312" w:hint="eastAsia"/>
          <w:sz w:val="24"/>
        </w:rPr>
        <w:t>6</w:t>
      </w:r>
      <w:r w:rsidRPr="008C494C">
        <w:rPr>
          <w:rFonts w:ascii="仿宋_GB2312" w:eastAsia="仿宋_GB2312" w:hAnsi="仿宋_GB2312" w:cs="仿宋_GB2312" w:hint="eastAsia"/>
          <w:sz w:val="24"/>
        </w:rPr>
        <w:t>、未成年人张x</w:t>
      </w:r>
      <w:r w:rsidR="006679DC">
        <w:rPr>
          <w:rFonts w:ascii="仿宋_GB2312" w:eastAsia="仿宋_GB2312" w:hAnsi="仿宋_GB2312" w:cs="仿宋_GB2312" w:hint="eastAsia"/>
          <w:sz w:val="24"/>
        </w:rPr>
        <w:t>、斯睿网咖</w:t>
      </w:r>
      <w:r w:rsidR="00880086">
        <w:rPr>
          <w:rFonts w:ascii="仿宋_GB2312" w:eastAsia="仿宋_GB2312" w:hAnsi="仿宋_GB2312" w:cs="仿宋_GB2312" w:hint="eastAsia"/>
          <w:sz w:val="24"/>
        </w:rPr>
        <w:t>店</w:t>
      </w:r>
      <w:r w:rsidR="006679DC">
        <w:rPr>
          <w:rFonts w:ascii="仿宋_GB2312" w:eastAsia="仿宋_GB2312" w:hAnsi="仿宋_GB2312" w:cs="仿宋_GB2312" w:hint="eastAsia"/>
          <w:sz w:val="24"/>
        </w:rPr>
        <w:t>投资人吴光仡、斯睿网咖</w:t>
      </w:r>
      <w:r w:rsidR="00880086">
        <w:rPr>
          <w:rFonts w:ascii="仿宋_GB2312" w:eastAsia="仿宋_GB2312" w:hAnsi="仿宋_GB2312" w:cs="仿宋_GB2312" w:hint="eastAsia"/>
          <w:sz w:val="24"/>
        </w:rPr>
        <w:t>店</w:t>
      </w:r>
      <w:r w:rsidRPr="008C494C">
        <w:rPr>
          <w:rFonts w:ascii="仿宋_GB2312" w:eastAsia="仿宋_GB2312" w:hAnsi="仿宋_GB2312" w:cs="仿宋_GB2312" w:hint="eastAsia"/>
          <w:sz w:val="24"/>
        </w:rPr>
        <w:t>负责人金浩楠的居民身份证复印件各1份。</w:t>
      </w:r>
      <w:r w:rsidR="000B6670">
        <w:rPr>
          <w:rFonts w:ascii="仿宋_GB2312" w:eastAsia="仿宋_GB2312" w:hAnsi="仿宋_GB2312" w:cs="仿宋_GB2312" w:hint="eastAsia"/>
          <w:sz w:val="24"/>
        </w:rPr>
        <w:t>7</w:t>
      </w:r>
      <w:r w:rsidRPr="008C494C">
        <w:rPr>
          <w:rFonts w:ascii="仿宋_GB2312" w:eastAsia="仿宋_GB2312" w:hAnsi="仿宋_GB2312" w:cs="仿宋_GB2312" w:hint="eastAsia"/>
          <w:sz w:val="24"/>
        </w:rPr>
        <w:t>、斯睿网咖</w:t>
      </w:r>
      <w:r w:rsidR="00880086">
        <w:rPr>
          <w:rFonts w:ascii="仿宋_GB2312" w:eastAsia="仿宋_GB2312" w:hAnsi="仿宋_GB2312" w:cs="仿宋_GB2312" w:hint="eastAsia"/>
          <w:sz w:val="24"/>
        </w:rPr>
        <w:t>店</w:t>
      </w:r>
      <w:r w:rsidRPr="008C494C">
        <w:rPr>
          <w:rFonts w:ascii="仿宋_GB2312" w:eastAsia="仿宋_GB2312" w:hAnsi="仿宋_GB2312" w:cs="仿宋_GB2312" w:hint="eastAsia"/>
          <w:sz w:val="24"/>
        </w:rPr>
        <w:t>营业执照、网络文化经营许可证复印件各1份。</w:t>
      </w:r>
    </w:p>
    <w:p w:rsidR="00C12153" w:rsidRDefault="00C12153" w:rsidP="00C12153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当事人接纳未成年人进入互联网上网服务营业场所的行为违反《互联网上网服务营业场所管理条例》第二十一条的规定。</w:t>
      </w:r>
    </w:p>
    <w:p w:rsidR="00C12153" w:rsidRDefault="00C12153" w:rsidP="00C12153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依据《互联网上网服务营业场所管理条例》第三十一条第二款的规定：接纳未成年人进入营业场所的，由文化行政部门给予警告，可以并处15000元以下的罚款；情节严重的，责令停业整顿，直至吊销《网络文化经营许可证》的规定，应该予以行政处罚。</w:t>
      </w:r>
    </w:p>
    <w:p w:rsidR="00EB522F" w:rsidRPr="00EB522F" w:rsidRDefault="00EB522F" w:rsidP="00EB522F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int="eastAsia"/>
          <w:sz w:val="24"/>
          <w:szCs w:val="32"/>
        </w:rPr>
        <w:t>当事人在收到本机关《行政处罚事先告知书》三个工作日内，未提出陈述和申辩意见，本机关视为当事人放弃相关权利。</w:t>
      </w:r>
    </w:p>
    <w:p w:rsidR="00C12153" w:rsidRPr="00C12153" w:rsidRDefault="00C12153" w:rsidP="00C12153">
      <w:pPr>
        <w:widowControl/>
        <w:shd w:val="clear" w:color="auto" w:fill="FFFFFF"/>
        <w:spacing w:line="480" w:lineRule="atLeast"/>
        <w:ind w:firstLineChars="250" w:firstLine="60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双辽市文化广播电视和旅游局决定给予当事人</w:t>
      </w:r>
      <w:r w:rsidR="00DC797F">
        <w:rPr>
          <w:rFonts w:ascii="仿宋_GB2312" w:eastAsia="仿宋_GB2312" w:hAnsi="仿宋_GB2312" w:cs="仿宋_GB2312" w:hint="eastAsia"/>
          <w:sz w:val="24"/>
        </w:rPr>
        <w:t>警告，并处</w:t>
      </w:r>
      <w:r w:rsidR="009D5F37">
        <w:rPr>
          <w:rFonts w:ascii="仿宋_GB2312" w:eastAsia="仿宋_GB2312" w:hAnsi="仿宋_GB2312" w:cs="仿宋_GB2312" w:hint="eastAsia"/>
          <w:sz w:val="24"/>
        </w:rPr>
        <w:t>罚款</w:t>
      </w:r>
      <w:r>
        <w:rPr>
          <w:rFonts w:ascii="仿宋_GB2312" w:eastAsia="仿宋_GB2312" w:hAnsi="仿宋_GB2312" w:cs="仿宋_GB2312" w:hint="eastAsia"/>
          <w:sz w:val="24"/>
        </w:rPr>
        <w:t>5000元（伍仟元整）的行政处罚。</w:t>
      </w:r>
    </w:p>
    <w:p w:rsidR="00EB522F" w:rsidRDefault="00EB522F" w:rsidP="00EB522F">
      <w:pPr>
        <w:adjustRightInd w:val="0"/>
        <w:snapToGrid w:val="0"/>
        <w:spacing w:line="440" w:lineRule="exact"/>
        <w:ind w:rightChars="-37" w:right="-78" w:firstLineChars="200" w:firstLine="480"/>
        <w:rPr>
          <w:rFonts w:ascii="仿宋_GB2312" w:eastAsia="仿宋_GB2312" w:hAnsi="宋体"/>
          <w:bCs/>
          <w:sz w:val="24"/>
          <w:u w:val="single"/>
        </w:rPr>
      </w:pPr>
      <w:r>
        <w:rPr>
          <w:rFonts w:ascii="仿宋_GB2312" w:eastAsia="仿宋_GB2312" w:hAnsi="宋体" w:hint="eastAsia"/>
          <w:bCs/>
          <w:sz w:val="24"/>
        </w:rPr>
        <w:t>你（单位）</w:t>
      </w:r>
      <w:r>
        <w:rPr>
          <w:rFonts w:ascii="仿宋_GB2312" w:eastAsia="仿宋_GB2312" w:hAnsi="宋体" w:hint="eastAsia"/>
          <w:sz w:val="24"/>
        </w:rPr>
        <w:t>应当自收到本决定书之日起十五日内，到双辽吉银村镇银行缴纳罚款。</w:t>
      </w:r>
      <w:r>
        <w:rPr>
          <w:rFonts w:ascii="仿宋_GB2312" w:eastAsia="仿宋_GB2312" w:hAnsi="宋体" w:hint="eastAsia"/>
          <w:sz w:val="24"/>
          <w:lang w:val="zh-CN"/>
        </w:rPr>
        <w:t>逾期不缴纳罚款的，依据《中华人民共和国行政处罚法》第五十一条第（一）项的规定，本机关可每日按罚款数额的百分之三加处罚款</w:t>
      </w:r>
      <w:r>
        <w:rPr>
          <w:rFonts w:ascii="仿宋_GB2312" w:eastAsia="仿宋_GB2312" w:hAnsi="仿宋_GB2312" w:cs="仿宋_GB2312" w:hint="eastAsia"/>
          <w:sz w:val="24"/>
          <w:lang w:val="zh-CN"/>
        </w:rPr>
        <w:t>，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并</w:t>
      </w:r>
      <w:r>
        <w:rPr>
          <w:rFonts w:ascii="仿宋_GB2312" w:eastAsia="仿宋_GB2312" w:hAnsi="仿宋_GB2312" w:cs="仿宋_GB2312" w:hint="eastAsia"/>
          <w:sz w:val="24"/>
        </w:rPr>
        <w:t>依据《中华人民共和国行政强制法》第四十六条的规定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申请人民法院强制执行。</w:t>
      </w:r>
    </w:p>
    <w:p w:rsidR="00EB522F" w:rsidRDefault="00EB522F" w:rsidP="00EB522F">
      <w:pPr>
        <w:adjustRightInd w:val="0"/>
        <w:snapToGrid w:val="0"/>
        <w:spacing w:line="440" w:lineRule="exact"/>
        <w:ind w:rightChars="-37" w:right="-78" w:firstLineChars="200" w:firstLine="480"/>
        <w:rPr>
          <w:rFonts w:ascii="仿宋_GB2312" w:eastAsia="仿宋_GB2312" w:hAnsi="宋体"/>
          <w:bCs/>
          <w:sz w:val="24"/>
          <w:u w:val="single"/>
        </w:rPr>
      </w:pPr>
      <w:r>
        <w:rPr>
          <w:rFonts w:ascii="仿宋_GB2312" w:eastAsia="仿宋_GB2312" w:hAnsi="宋体" w:hint="eastAsia"/>
          <w:bCs/>
          <w:sz w:val="24"/>
        </w:rPr>
        <w:t>你（单位）</w:t>
      </w:r>
      <w:r>
        <w:rPr>
          <w:rFonts w:ascii="仿宋_GB2312" w:eastAsia="仿宋_GB2312" w:hAnsi="宋体" w:hint="eastAsia"/>
          <w:sz w:val="24"/>
        </w:rPr>
        <w:t>如对本处罚决定不服，可在收到本决定书之日起六十日内</w:t>
      </w:r>
      <w:r>
        <w:rPr>
          <w:rFonts w:ascii="仿宋_GB2312" w:eastAsia="仿宋_GB2312" w:hAnsi="仿宋_GB2312" w:cs="仿宋_GB2312" w:hint="eastAsia"/>
          <w:sz w:val="24"/>
        </w:rPr>
        <w:t>向双辽市人民政府或者四平市文化广播电视和旅游局</w:t>
      </w:r>
      <w:r>
        <w:rPr>
          <w:rFonts w:ascii="仿宋_GB2312" w:eastAsia="仿宋_GB2312" w:hAnsi="宋体" w:hint="eastAsia"/>
          <w:sz w:val="24"/>
        </w:rPr>
        <w:t>申请行政复议，也可在收到本决定书之日起六个月内直接向</w:t>
      </w:r>
      <w:r>
        <w:rPr>
          <w:rFonts w:ascii="仿宋_GB2312" w:eastAsia="仿宋_GB2312" w:hAnsi="仿宋_GB2312" w:cs="仿宋_GB2312" w:hint="eastAsia"/>
          <w:sz w:val="24"/>
        </w:rPr>
        <w:t>双辽市人民法院</w:t>
      </w:r>
      <w:r>
        <w:rPr>
          <w:rFonts w:ascii="仿宋_GB2312" w:eastAsia="仿宋_GB2312" w:hAnsi="宋体" w:hint="eastAsia"/>
          <w:sz w:val="24"/>
        </w:rPr>
        <w:t>提起行政诉讼。行政复议或者行政诉讼期间，本处罚决定不停止执行。</w:t>
      </w:r>
    </w:p>
    <w:p w:rsidR="00EB522F" w:rsidRDefault="00EB522F" w:rsidP="00EB522F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 w:rsidR="007A0C63" w:rsidRPr="00EB522F" w:rsidRDefault="007A0C63" w:rsidP="007A0C63">
      <w:pPr>
        <w:spacing w:line="400" w:lineRule="exact"/>
        <w:jc w:val="left"/>
        <w:rPr>
          <w:rFonts w:ascii="仿宋_GB2312" w:eastAsia="仿宋_GB2312" w:hAnsi="宋体"/>
          <w:bCs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0" w:firstLine="4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双辽市文化广播电视和旅游局</w:t>
      </w:r>
    </w:p>
    <w:p w:rsidR="007A0C63" w:rsidRDefault="007A0C63" w:rsidP="007A0C63">
      <w:pPr>
        <w:spacing w:line="440" w:lineRule="exact"/>
        <w:ind w:leftChars="-38" w:left="-80" w:rightChars="-37" w:right="-78" w:firstLineChars="2200" w:firstLine="52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2021 年 06月2</w:t>
      </w:r>
      <w:r w:rsidR="00B7246F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日</w:t>
      </w: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（本机关将依法向社会公示本行政处罚决定信息）</w:t>
      </w: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EB522F">
      <w:pPr>
        <w:pStyle w:val="a5"/>
        <w:widowControl/>
        <w:spacing w:line="360" w:lineRule="atLeast"/>
        <w:rPr>
          <w:rFonts w:ascii="仿宋_GB2312" w:eastAsia="仿宋_GB2312" w:hAnsi="仿宋_GB2312" w:cs="仿宋_GB2312"/>
          <w:kern w:val="2"/>
          <w:szCs w:val="24"/>
        </w:rPr>
      </w:pPr>
    </w:p>
    <w:p w:rsidR="003D4B8B" w:rsidRPr="007A0C63" w:rsidRDefault="003D4B8B"/>
    <w:sectPr w:rsidR="003D4B8B" w:rsidRPr="007A0C63" w:rsidSect="001853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6D" w:rsidRDefault="00C8036D" w:rsidP="007A0C63">
      <w:r>
        <w:separator/>
      </w:r>
    </w:p>
  </w:endnote>
  <w:endnote w:type="continuationSeparator" w:id="1">
    <w:p w:rsidR="00C8036D" w:rsidRDefault="00C8036D" w:rsidP="007A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3472"/>
      <w:docPartObj>
        <w:docPartGallery w:val="Page Numbers (Bottom of Page)"/>
        <w:docPartUnique/>
      </w:docPartObj>
    </w:sdtPr>
    <w:sdtContent>
      <w:p w:rsidR="007A0C63" w:rsidRDefault="007A0C63">
        <w:pPr>
          <w:pStyle w:val="a4"/>
          <w:jc w:val="center"/>
        </w:pPr>
        <w:r w:rsidRPr="006F70CE">
          <w:rPr>
            <w:rFonts w:ascii="仿宋" w:eastAsia="仿宋" w:hAnsi="仿宋" w:hint="eastAsia"/>
            <w:sz w:val="24"/>
            <w:szCs w:val="24"/>
          </w:rPr>
          <w:t>共2页 第</w:t>
        </w:r>
        <w:r w:rsidR="000C327E" w:rsidRPr="006F70CE">
          <w:rPr>
            <w:rFonts w:ascii="仿宋" w:eastAsia="仿宋" w:hAnsi="仿宋"/>
            <w:sz w:val="24"/>
            <w:szCs w:val="24"/>
          </w:rPr>
          <w:fldChar w:fldCharType="begin"/>
        </w:r>
        <w:r w:rsidR="00185306" w:rsidRPr="006F70CE"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 w:rsidR="000C327E" w:rsidRPr="006F70CE">
          <w:rPr>
            <w:rFonts w:ascii="仿宋" w:eastAsia="仿宋" w:hAnsi="仿宋"/>
            <w:sz w:val="24"/>
            <w:szCs w:val="24"/>
          </w:rPr>
          <w:fldChar w:fldCharType="separate"/>
        </w:r>
        <w:r w:rsidR="00880086" w:rsidRPr="00880086">
          <w:rPr>
            <w:rFonts w:ascii="仿宋" w:eastAsia="仿宋" w:hAnsi="仿宋"/>
            <w:noProof/>
            <w:sz w:val="24"/>
            <w:szCs w:val="24"/>
            <w:lang w:val="zh-CN"/>
          </w:rPr>
          <w:t>2</w:t>
        </w:r>
        <w:r w:rsidR="000C327E" w:rsidRPr="006F70CE">
          <w:rPr>
            <w:rFonts w:ascii="仿宋" w:eastAsia="仿宋" w:hAnsi="仿宋"/>
            <w:sz w:val="24"/>
            <w:szCs w:val="24"/>
          </w:rPr>
          <w:fldChar w:fldCharType="end"/>
        </w:r>
        <w:r w:rsidRPr="006F70CE">
          <w:rPr>
            <w:rFonts w:ascii="仿宋" w:eastAsia="仿宋" w:hAnsi="仿宋" w:hint="eastAsia"/>
            <w:sz w:val="24"/>
            <w:szCs w:val="24"/>
          </w:rPr>
          <w:t>页</w:t>
        </w:r>
      </w:p>
    </w:sdtContent>
  </w:sdt>
  <w:p w:rsidR="007A0C63" w:rsidRDefault="007A0C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6D" w:rsidRDefault="00C8036D" w:rsidP="007A0C63">
      <w:r>
        <w:separator/>
      </w:r>
    </w:p>
  </w:footnote>
  <w:footnote w:type="continuationSeparator" w:id="1">
    <w:p w:rsidR="00C8036D" w:rsidRDefault="00C8036D" w:rsidP="007A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63"/>
    <w:rsid w:val="00052915"/>
    <w:rsid w:val="00073623"/>
    <w:rsid w:val="000B6670"/>
    <w:rsid w:val="000C327E"/>
    <w:rsid w:val="00133E2E"/>
    <w:rsid w:val="001507BE"/>
    <w:rsid w:val="00185306"/>
    <w:rsid w:val="00232379"/>
    <w:rsid w:val="00290A3D"/>
    <w:rsid w:val="002E2128"/>
    <w:rsid w:val="003D4B8B"/>
    <w:rsid w:val="004C4F3B"/>
    <w:rsid w:val="00522F73"/>
    <w:rsid w:val="00583D4F"/>
    <w:rsid w:val="006679DC"/>
    <w:rsid w:val="0067390F"/>
    <w:rsid w:val="006C0DDF"/>
    <w:rsid w:val="006F70CE"/>
    <w:rsid w:val="007A0C63"/>
    <w:rsid w:val="00824E19"/>
    <w:rsid w:val="00880086"/>
    <w:rsid w:val="00887A40"/>
    <w:rsid w:val="00906C0F"/>
    <w:rsid w:val="009917B3"/>
    <w:rsid w:val="009D5F37"/>
    <w:rsid w:val="00B7246F"/>
    <w:rsid w:val="00BE337F"/>
    <w:rsid w:val="00C12153"/>
    <w:rsid w:val="00C8036D"/>
    <w:rsid w:val="00CD7720"/>
    <w:rsid w:val="00DB2618"/>
    <w:rsid w:val="00DC797F"/>
    <w:rsid w:val="00E624F1"/>
    <w:rsid w:val="00EB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C63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7A0C63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18</cp:revision>
  <cp:lastPrinted>2021-06-28T08:06:00Z</cp:lastPrinted>
  <dcterms:created xsi:type="dcterms:W3CDTF">2021-06-18T06:42:00Z</dcterms:created>
  <dcterms:modified xsi:type="dcterms:W3CDTF">2021-06-28T08:06:00Z</dcterms:modified>
</cp:coreProperties>
</file>